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605491" w14:textId="77777777" w:rsidR="008C694C" w:rsidRDefault="008C694C" w:rsidP="004B6FF3">
      <w:pPr>
        <w:jc w:val="center"/>
        <w:rPr>
          <w:rFonts w:ascii="Times New Roman" w:hAnsi="Times New Roman" w:cs="Times New Roman"/>
          <w:b/>
          <w:bCs/>
          <w:smallCaps/>
          <w:u w:val="single"/>
        </w:rPr>
      </w:pPr>
    </w:p>
    <w:p w14:paraId="069902B7" w14:textId="77777777" w:rsidR="008C694C" w:rsidRDefault="008C694C" w:rsidP="004B6FF3">
      <w:pPr>
        <w:jc w:val="center"/>
        <w:rPr>
          <w:rFonts w:ascii="Times New Roman" w:hAnsi="Times New Roman" w:cs="Times New Roman"/>
          <w:b/>
          <w:bCs/>
          <w:smallCaps/>
          <w:u w:val="single"/>
        </w:rPr>
      </w:pPr>
    </w:p>
    <w:p w14:paraId="3709D742" w14:textId="77777777" w:rsidR="008C694C" w:rsidRDefault="008C694C" w:rsidP="004B6FF3">
      <w:pPr>
        <w:jc w:val="center"/>
        <w:rPr>
          <w:rFonts w:ascii="Times New Roman" w:hAnsi="Times New Roman" w:cs="Times New Roman"/>
          <w:b/>
          <w:bCs/>
          <w:smallCaps/>
          <w:u w:val="single"/>
        </w:rPr>
      </w:pPr>
    </w:p>
    <w:p w14:paraId="0F93E256" w14:textId="77777777" w:rsidR="008C694C" w:rsidRDefault="008C694C" w:rsidP="004B6FF3">
      <w:pPr>
        <w:jc w:val="center"/>
        <w:rPr>
          <w:rFonts w:ascii="Times New Roman" w:hAnsi="Times New Roman" w:cs="Times New Roman"/>
          <w:b/>
          <w:bCs/>
          <w:smallCaps/>
          <w:u w:val="single"/>
        </w:rPr>
      </w:pPr>
    </w:p>
    <w:p w14:paraId="375EAB2D" w14:textId="77777777" w:rsidR="008C694C" w:rsidRDefault="008C694C" w:rsidP="004B6FF3">
      <w:pPr>
        <w:jc w:val="center"/>
        <w:rPr>
          <w:rFonts w:ascii="Times New Roman" w:hAnsi="Times New Roman" w:cs="Times New Roman"/>
          <w:b/>
          <w:bCs/>
          <w:smallCaps/>
          <w:u w:val="single"/>
        </w:rPr>
      </w:pPr>
    </w:p>
    <w:p w14:paraId="45D99E16" w14:textId="77777777" w:rsidR="008C694C" w:rsidRDefault="008C694C" w:rsidP="004B6FF3">
      <w:pPr>
        <w:jc w:val="center"/>
        <w:rPr>
          <w:rFonts w:ascii="Times New Roman" w:hAnsi="Times New Roman" w:cs="Times New Roman"/>
          <w:b/>
          <w:bCs/>
          <w:smallCaps/>
          <w:u w:val="single"/>
        </w:rPr>
      </w:pPr>
    </w:p>
    <w:p w14:paraId="4892896F" w14:textId="77777777" w:rsidR="008C694C" w:rsidRDefault="008C694C" w:rsidP="004B6FF3">
      <w:pPr>
        <w:jc w:val="center"/>
        <w:rPr>
          <w:rFonts w:ascii="Times New Roman" w:hAnsi="Times New Roman" w:cs="Times New Roman"/>
          <w:b/>
          <w:bCs/>
          <w:smallCaps/>
          <w:u w:val="single"/>
        </w:rPr>
      </w:pPr>
    </w:p>
    <w:p w14:paraId="3639F37F" w14:textId="441741C6" w:rsidR="00660C79" w:rsidRPr="008C694C" w:rsidRDefault="00660C79" w:rsidP="004B6FF3">
      <w:pPr>
        <w:jc w:val="center"/>
        <w:rPr>
          <w:rFonts w:ascii="Times New Roman" w:hAnsi="Times New Roman" w:cs="Times New Roman"/>
          <w:b/>
          <w:bCs/>
          <w:smallCaps/>
          <w:u w:val="single"/>
        </w:rPr>
      </w:pPr>
      <w:r w:rsidRPr="008C694C">
        <w:rPr>
          <w:rFonts w:ascii="Times New Roman" w:hAnsi="Times New Roman" w:cs="Times New Roman"/>
          <w:b/>
          <w:bCs/>
          <w:smallCaps/>
          <w:u w:val="single"/>
        </w:rPr>
        <w:t>CSE Institute Policy Paper</w:t>
      </w:r>
      <w:r w:rsidR="00C23934" w:rsidRPr="008C694C">
        <w:rPr>
          <w:rFonts w:ascii="Times New Roman" w:hAnsi="Times New Roman" w:cs="Times New Roman"/>
          <w:b/>
          <w:bCs/>
          <w:smallCaps/>
          <w:u w:val="single"/>
        </w:rPr>
        <w:t xml:space="preserve"> </w:t>
      </w:r>
    </w:p>
    <w:p w14:paraId="58D1DEFA" w14:textId="77777777" w:rsidR="00660C79" w:rsidRPr="008C694C" w:rsidRDefault="00660C79" w:rsidP="004B6FF3">
      <w:pPr>
        <w:jc w:val="center"/>
        <w:rPr>
          <w:rFonts w:ascii="Times New Roman" w:hAnsi="Times New Roman" w:cs="Times New Roman"/>
          <w:b/>
          <w:u w:val="single"/>
        </w:rPr>
      </w:pPr>
    </w:p>
    <w:p w14:paraId="4B271333" w14:textId="63CF038A" w:rsidR="00C23934" w:rsidRPr="008C694C" w:rsidRDefault="00C23934" w:rsidP="004B6FF3">
      <w:pPr>
        <w:jc w:val="center"/>
        <w:rPr>
          <w:rFonts w:ascii="Times New Roman" w:hAnsi="Times New Roman" w:cs="Times New Roman"/>
          <w:b/>
          <w:u w:val="single"/>
        </w:rPr>
      </w:pPr>
      <w:bookmarkStart w:id="0" w:name="_GoBack"/>
      <w:r w:rsidRPr="008C694C">
        <w:rPr>
          <w:rFonts w:ascii="Times New Roman" w:hAnsi="Times New Roman" w:cs="Times New Roman"/>
          <w:b/>
          <w:u w:val="single"/>
        </w:rPr>
        <w:t xml:space="preserve">Why </w:t>
      </w:r>
      <w:r w:rsidR="000A38C2" w:rsidRPr="008C694C">
        <w:rPr>
          <w:rFonts w:ascii="Times New Roman" w:hAnsi="Times New Roman" w:cs="Times New Roman"/>
          <w:b/>
          <w:u w:val="single"/>
        </w:rPr>
        <w:t xml:space="preserve">Section 230 of </w:t>
      </w:r>
      <w:r w:rsidRPr="008C694C">
        <w:rPr>
          <w:rFonts w:ascii="Times New Roman" w:hAnsi="Times New Roman" w:cs="Times New Roman"/>
          <w:b/>
          <w:u w:val="single"/>
        </w:rPr>
        <w:t>the Communications Decency Act Does Not Bar Civil Lawsuits Brought By Sex Trafficking Victims Against Backpage.com</w:t>
      </w:r>
    </w:p>
    <w:bookmarkEnd w:id="0"/>
    <w:p w14:paraId="35185FD3" w14:textId="77777777" w:rsidR="00C23934" w:rsidRPr="008C694C" w:rsidRDefault="00C23934" w:rsidP="004B6FF3">
      <w:pPr>
        <w:jc w:val="center"/>
        <w:rPr>
          <w:rFonts w:ascii="Times New Roman" w:hAnsi="Times New Roman" w:cs="Times New Roman"/>
          <w:b/>
          <w:u w:val="single"/>
        </w:rPr>
      </w:pPr>
    </w:p>
    <w:p w14:paraId="249BF04C" w14:textId="276B964D" w:rsidR="001614E7" w:rsidRPr="008C694C" w:rsidRDefault="00CF051E" w:rsidP="009A0C47">
      <w:pPr>
        <w:spacing w:line="480" w:lineRule="auto"/>
        <w:rPr>
          <w:rFonts w:ascii="Times New Roman" w:hAnsi="Times New Roman" w:cs="Times New Roman"/>
        </w:rPr>
      </w:pPr>
      <w:r w:rsidRPr="008C694C">
        <w:rPr>
          <w:rFonts w:ascii="Times New Roman" w:hAnsi="Times New Roman" w:cs="Times New Roman"/>
        </w:rPr>
        <w:tab/>
        <w:t xml:space="preserve">The criminal justice system has recently turned its attention to </w:t>
      </w:r>
      <w:r w:rsidR="0075070B" w:rsidRPr="008C694C">
        <w:rPr>
          <w:rFonts w:ascii="Times New Roman" w:hAnsi="Times New Roman" w:cs="Times New Roman"/>
        </w:rPr>
        <w:t>investigating and prosecuting the crime of sex trafficking</w:t>
      </w:r>
      <w:r w:rsidRPr="008C694C">
        <w:rPr>
          <w:rFonts w:ascii="Times New Roman" w:hAnsi="Times New Roman" w:cs="Times New Roman"/>
        </w:rPr>
        <w:t xml:space="preserve">. Unfortunately, civil litigators have not </w:t>
      </w:r>
      <w:r w:rsidR="0075070B" w:rsidRPr="008C694C">
        <w:rPr>
          <w:rFonts w:ascii="Times New Roman" w:hAnsi="Times New Roman" w:cs="Times New Roman"/>
        </w:rPr>
        <w:t>been as successful at helping sex trafficking victims obtain justice outside the criminal justice system. Lawsuits against sex traffickers and pimps are usually not financially wise. Fortunately, a provision in Act 105</w:t>
      </w:r>
      <w:r w:rsidR="00C6238B">
        <w:rPr>
          <w:rFonts w:ascii="Times New Roman" w:hAnsi="Times New Roman" w:cs="Times New Roman"/>
        </w:rPr>
        <w:t xml:space="preserve"> (2014)</w:t>
      </w:r>
      <w:r w:rsidR="0075070B" w:rsidRPr="008C694C">
        <w:rPr>
          <w:rFonts w:ascii="Times New Roman" w:hAnsi="Times New Roman" w:cs="Times New Roman"/>
        </w:rPr>
        <w:t>, Pennsylvania’s anti-trafficking statute, permits survivors to sue big-pocket targets like Backpage.com</w:t>
      </w:r>
      <w:r w:rsidR="00456F43" w:rsidRPr="008C694C">
        <w:rPr>
          <w:rFonts w:ascii="Times New Roman" w:hAnsi="Times New Roman" w:cs="Times New Roman"/>
        </w:rPr>
        <w:t xml:space="preserve"> (“</w:t>
      </w:r>
      <w:proofErr w:type="spellStart"/>
      <w:r w:rsidR="00456F43" w:rsidRPr="008C694C">
        <w:rPr>
          <w:rFonts w:ascii="Times New Roman" w:hAnsi="Times New Roman" w:cs="Times New Roman"/>
        </w:rPr>
        <w:t>Backpage</w:t>
      </w:r>
      <w:proofErr w:type="spellEnd"/>
      <w:r w:rsidR="00456F43" w:rsidRPr="008C694C">
        <w:rPr>
          <w:rFonts w:ascii="Times New Roman" w:hAnsi="Times New Roman" w:cs="Times New Roman"/>
        </w:rPr>
        <w:t>”)</w:t>
      </w:r>
      <w:r w:rsidR="0075070B" w:rsidRPr="008C694C">
        <w:rPr>
          <w:rFonts w:ascii="Times New Roman" w:hAnsi="Times New Roman" w:cs="Times New Roman"/>
        </w:rPr>
        <w:t>, an online “adult services” classified-style adv</w:t>
      </w:r>
      <w:r w:rsidR="00C12652" w:rsidRPr="008C694C">
        <w:rPr>
          <w:rFonts w:ascii="Times New Roman" w:hAnsi="Times New Roman" w:cs="Times New Roman"/>
        </w:rPr>
        <w:t>ertiser that is well known for h</w:t>
      </w:r>
      <w:r w:rsidR="0075070B" w:rsidRPr="008C694C">
        <w:rPr>
          <w:rFonts w:ascii="Times New Roman" w:hAnsi="Times New Roman" w:cs="Times New Roman"/>
        </w:rPr>
        <w:t xml:space="preserve">osting ads that facilitate the sex trafficking of women and girls. </w:t>
      </w:r>
      <w:r w:rsidR="008114A6" w:rsidRPr="008C694C">
        <w:rPr>
          <w:rFonts w:ascii="Times New Roman" w:hAnsi="Times New Roman" w:cs="Times New Roman"/>
        </w:rPr>
        <w:t xml:space="preserve">Many convicted sex traffickers have advertised their victims as available for sex on </w:t>
      </w:r>
      <w:proofErr w:type="spellStart"/>
      <w:r w:rsidR="008114A6" w:rsidRPr="008C694C">
        <w:rPr>
          <w:rFonts w:ascii="Times New Roman" w:hAnsi="Times New Roman" w:cs="Times New Roman"/>
        </w:rPr>
        <w:t>Backpage</w:t>
      </w:r>
      <w:proofErr w:type="spellEnd"/>
      <w:r w:rsidR="008114A6" w:rsidRPr="008C694C">
        <w:rPr>
          <w:rFonts w:ascii="Times New Roman" w:hAnsi="Times New Roman" w:cs="Times New Roman"/>
        </w:rPr>
        <w:t xml:space="preserve">, some as many as </w:t>
      </w:r>
      <w:r w:rsidR="00D738EE" w:rsidRPr="008C694C">
        <w:rPr>
          <w:rFonts w:ascii="Times New Roman" w:hAnsi="Times New Roman" w:cs="Times New Roman"/>
        </w:rPr>
        <w:t>300 times, resulting in 10-12 transactions daily</w:t>
      </w:r>
      <w:r w:rsidR="008114A6" w:rsidRPr="008C694C">
        <w:rPr>
          <w:rFonts w:ascii="Times New Roman" w:hAnsi="Times New Roman" w:cs="Times New Roman"/>
        </w:rPr>
        <w:t>.</w:t>
      </w:r>
      <w:r w:rsidR="008114A6" w:rsidRPr="008C694C">
        <w:rPr>
          <w:rStyle w:val="EndnoteReference"/>
          <w:rFonts w:ascii="Times New Roman" w:hAnsi="Times New Roman" w:cs="Times New Roman"/>
        </w:rPr>
        <w:endnoteReference w:id="1"/>
      </w:r>
      <w:r w:rsidR="008114A6" w:rsidRPr="008C694C">
        <w:rPr>
          <w:rFonts w:ascii="Times New Roman" w:hAnsi="Times New Roman" w:cs="Times New Roman"/>
        </w:rPr>
        <w:t xml:space="preserve"> In order to escape liability for suits brought by sex trafficking victims, </w:t>
      </w:r>
      <w:proofErr w:type="spellStart"/>
      <w:r w:rsidR="008114A6" w:rsidRPr="008C694C">
        <w:rPr>
          <w:rFonts w:ascii="Times New Roman" w:hAnsi="Times New Roman" w:cs="Times New Roman"/>
        </w:rPr>
        <w:t>Backpage</w:t>
      </w:r>
      <w:proofErr w:type="spellEnd"/>
      <w:r w:rsidR="008114A6" w:rsidRPr="008C694C">
        <w:rPr>
          <w:rFonts w:ascii="Times New Roman" w:hAnsi="Times New Roman" w:cs="Times New Roman"/>
        </w:rPr>
        <w:t xml:space="preserve"> has relied on a provision in the Communications Decency Act</w:t>
      </w:r>
      <w:r w:rsidR="00D25C98" w:rsidRPr="008C694C">
        <w:rPr>
          <w:rStyle w:val="EndnoteReference"/>
          <w:rFonts w:ascii="Times New Roman" w:hAnsi="Times New Roman" w:cs="Times New Roman"/>
        </w:rPr>
        <w:endnoteReference w:id="2"/>
      </w:r>
      <w:r w:rsidR="008114A6" w:rsidRPr="008C694C">
        <w:rPr>
          <w:rFonts w:ascii="Times New Roman" w:hAnsi="Times New Roman" w:cs="Times New Roman"/>
        </w:rPr>
        <w:t xml:space="preserve">, a </w:t>
      </w:r>
      <w:r w:rsidR="00357D47" w:rsidRPr="008C694C">
        <w:rPr>
          <w:rFonts w:ascii="Times New Roman" w:hAnsi="Times New Roman" w:cs="Times New Roman"/>
        </w:rPr>
        <w:t>F</w:t>
      </w:r>
      <w:r w:rsidR="008114A6" w:rsidRPr="008C694C">
        <w:rPr>
          <w:rFonts w:ascii="Times New Roman" w:hAnsi="Times New Roman" w:cs="Times New Roman"/>
        </w:rPr>
        <w:t>ederal statute that prevents websites from being liable for content created by their users.</w:t>
      </w:r>
    </w:p>
    <w:p w14:paraId="2DD78396" w14:textId="6CD217C6" w:rsidR="0075070B" w:rsidRPr="008C694C" w:rsidRDefault="00EE5A13" w:rsidP="00510D0D">
      <w:pPr>
        <w:spacing w:line="480" w:lineRule="auto"/>
        <w:rPr>
          <w:rFonts w:ascii="Times New Roman" w:hAnsi="Times New Roman" w:cs="Times New Roman"/>
        </w:rPr>
      </w:pPr>
      <w:r w:rsidRPr="008C694C">
        <w:rPr>
          <w:rFonts w:ascii="Times New Roman" w:hAnsi="Times New Roman" w:cs="Times New Roman"/>
        </w:rPr>
        <w:tab/>
        <w:t xml:space="preserve">This policy paper explains why the Communications Decency Act does not bar lawsuits brought by sex trafficking victims against </w:t>
      </w:r>
      <w:proofErr w:type="spellStart"/>
      <w:r w:rsidRPr="008C694C">
        <w:rPr>
          <w:rFonts w:ascii="Times New Roman" w:hAnsi="Times New Roman" w:cs="Times New Roman"/>
        </w:rPr>
        <w:t>Backpage</w:t>
      </w:r>
      <w:proofErr w:type="spellEnd"/>
      <w:r w:rsidRPr="008C694C">
        <w:rPr>
          <w:rFonts w:ascii="Times New Roman" w:hAnsi="Times New Roman" w:cs="Times New Roman"/>
        </w:rPr>
        <w:t>.</w:t>
      </w:r>
      <w:r w:rsidR="000A38C2" w:rsidRPr="008C694C">
        <w:rPr>
          <w:rFonts w:ascii="Times New Roman" w:hAnsi="Times New Roman" w:cs="Times New Roman"/>
        </w:rPr>
        <w:t xml:space="preserve"> It explains how sex traffickers use </w:t>
      </w:r>
      <w:proofErr w:type="spellStart"/>
      <w:r w:rsidR="000A38C2" w:rsidRPr="008C694C">
        <w:rPr>
          <w:rFonts w:ascii="Times New Roman" w:hAnsi="Times New Roman" w:cs="Times New Roman"/>
        </w:rPr>
        <w:t>Backpage</w:t>
      </w:r>
      <w:proofErr w:type="spellEnd"/>
      <w:r w:rsidR="000A38C2" w:rsidRPr="008C694C">
        <w:rPr>
          <w:rFonts w:ascii="Times New Roman" w:hAnsi="Times New Roman" w:cs="Times New Roman"/>
        </w:rPr>
        <w:t xml:space="preserve"> and the Internet to recruit and sell their victims, and how civil lit</w:t>
      </w:r>
      <w:r w:rsidR="00284D63" w:rsidRPr="008C694C">
        <w:rPr>
          <w:rFonts w:ascii="Times New Roman" w:hAnsi="Times New Roman" w:cs="Times New Roman"/>
        </w:rPr>
        <w:t>i</w:t>
      </w:r>
      <w:r w:rsidR="000A38C2" w:rsidRPr="008C694C">
        <w:rPr>
          <w:rFonts w:ascii="Times New Roman" w:hAnsi="Times New Roman" w:cs="Times New Roman"/>
        </w:rPr>
        <w:t xml:space="preserve">gators can help victims sue their traffickers or pimps using civil remedies in federal </w:t>
      </w:r>
      <w:r w:rsidR="000A38C2" w:rsidRPr="008C694C">
        <w:rPr>
          <w:rFonts w:ascii="Times New Roman" w:hAnsi="Times New Roman" w:cs="Times New Roman"/>
        </w:rPr>
        <w:lastRenderedPageBreak/>
        <w:t>and state statutes. It then explains the history of section 230 of the Commun</w:t>
      </w:r>
      <w:r w:rsidR="00114CFA" w:rsidRPr="008C694C">
        <w:rPr>
          <w:rFonts w:ascii="Times New Roman" w:hAnsi="Times New Roman" w:cs="Times New Roman"/>
        </w:rPr>
        <w:t>ications Decency Act, and why the CDA</w:t>
      </w:r>
      <w:r w:rsidR="000A38C2" w:rsidRPr="008C694C">
        <w:rPr>
          <w:rFonts w:ascii="Times New Roman" w:hAnsi="Times New Roman" w:cs="Times New Roman"/>
        </w:rPr>
        <w:t xml:space="preserve"> does not grant websites like </w:t>
      </w:r>
      <w:proofErr w:type="spellStart"/>
      <w:r w:rsidR="000A38C2" w:rsidRPr="008C694C">
        <w:rPr>
          <w:rFonts w:ascii="Times New Roman" w:hAnsi="Times New Roman" w:cs="Times New Roman"/>
        </w:rPr>
        <w:t>Backpage</w:t>
      </w:r>
      <w:proofErr w:type="spellEnd"/>
      <w:r w:rsidR="000A38C2" w:rsidRPr="008C694C">
        <w:rPr>
          <w:rFonts w:ascii="Times New Roman" w:hAnsi="Times New Roman" w:cs="Times New Roman"/>
        </w:rPr>
        <w:t xml:space="preserve"> a broad, general immunity from suit. In fact, </w:t>
      </w:r>
      <w:proofErr w:type="spellStart"/>
      <w:r w:rsidR="000A38C2" w:rsidRPr="008C694C">
        <w:rPr>
          <w:rFonts w:ascii="Times New Roman" w:hAnsi="Times New Roman" w:cs="Times New Roman"/>
        </w:rPr>
        <w:t>Backpage</w:t>
      </w:r>
      <w:proofErr w:type="spellEnd"/>
      <w:r w:rsidR="000A38C2" w:rsidRPr="008C694C">
        <w:rPr>
          <w:rFonts w:ascii="Times New Roman" w:hAnsi="Times New Roman" w:cs="Times New Roman"/>
        </w:rPr>
        <w:t xml:space="preserve"> is ineligible for se</w:t>
      </w:r>
      <w:r w:rsidR="00762141" w:rsidRPr="008C694C">
        <w:rPr>
          <w:rFonts w:ascii="Times New Roman" w:hAnsi="Times New Roman" w:cs="Times New Roman"/>
        </w:rPr>
        <w:t>c</w:t>
      </w:r>
      <w:r w:rsidR="000A38C2" w:rsidRPr="008C694C">
        <w:rPr>
          <w:rFonts w:ascii="Times New Roman" w:hAnsi="Times New Roman" w:cs="Times New Roman"/>
        </w:rPr>
        <w:t xml:space="preserve">tion 230’s </w:t>
      </w:r>
      <w:r w:rsidR="00762141" w:rsidRPr="008C694C">
        <w:rPr>
          <w:rFonts w:ascii="Times New Roman" w:hAnsi="Times New Roman" w:cs="Times New Roman"/>
        </w:rPr>
        <w:t>grant of immunity because it helps pimps and traffickers develop the ads they post on the</w:t>
      </w:r>
      <w:r w:rsidR="00510D0D" w:rsidRPr="008C694C">
        <w:rPr>
          <w:rFonts w:ascii="Times New Roman" w:hAnsi="Times New Roman" w:cs="Times New Roman"/>
        </w:rPr>
        <w:t xml:space="preserve"> In</w:t>
      </w:r>
      <w:r w:rsidR="00762141" w:rsidRPr="008C694C">
        <w:rPr>
          <w:rFonts w:ascii="Times New Roman" w:hAnsi="Times New Roman" w:cs="Times New Roman"/>
        </w:rPr>
        <w:t>ternet.</w:t>
      </w:r>
    </w:p>
    <w:p w14:paraId="30436487" w14:textId="64977654" w:rsidR="00B0051F" w:rsidRPr="008C694C" w:rsidRDefault="004B6FF3" w:rsidP="00AE4D56">
      <w:pPr>
        <w:pStyle w:val="ListParagraph"/>
        <w:numPr>
          <w:ilvl w:val="0"/>
          <w:numId w:val="2"/>
        </w:numPr>
        <w:rPr>
          <w:rFonts w:ascii="Times New Roman" w:hAnsi="Times New Roman" w:cs="Times New Roman"/>
          <w:b/>
          <w:u w:val="single"/>
        </w:rPr>
      </w:pPr>
      <w:r w:rsidRPr="008C694C">
        <w:rPr>
          <w:rFonts w:ascii="Times New Roman" w:hAnsi="Times New Roman" w:cs="Times New Roman"/>
          <w:b/>
          <w:u w:val="single"/>
        </w:rPr>
        <w:t>How Sex Traffickers Use Backpage.com</w:t>
      </w:r>
      <w:r w:rsidR="00034AC6" w:rsidRPr="008C694C">
        <w:rPr>
          <w:rFonts w:ascii="Times New Roman" w:hAnsi="Times New Roman" w:cs="Times New Roman"/>
          <w:b/>
          <w:u w:val="single"/>
        </w:rPr>
        <w:t xml:space="preserve"> and </w:t>
      </w:r>
      <w:r w:rsidR="00C06650" w:rsidRPr="008C694C">
        <w:rPr>
          <w:rFonts w:ascii="Times New Roman" w:hAnsi="Times New Roman" w:cs="Times New Roman"/>
          <w:b/>
          <w:u w:val="single"/>
        </w:rPr>
        <w:t xml:space="preserve">the </w:t>
      </w:r>
      <w:r w:rsidR="00034AC6" w:rsidRPr="008C694C">
        <w:rPr>
          <w:rFonts w:ascii="Times New Roman" w:hAnsi="Times New Roman" w:cs="Times New Roman"/>
          <w:b/>
          <w:u w:val="single"/>
        </w:rPr>
        <w:t>Internet</w:t>
      </w:r>
    </w:p>
    <w:p w14:paraId="60270055" w14:textId="77777777" w:rsidR="004B6FF3" w:rsidRPr="008C694C" w:rsidRDefault="004B6FF3" w:rsidP="00835964">
      <w:pPr>
        <w:rPr>
          <w:rFonts w:ascii="Times New Roman" w:hAnsi="Times New Roman" w:cs="Times New Roman"/>
        </w:rPr>
      </w:pPr>
    </w:p>
    <w:p w14:paraId="395A5EB4" w14:textId="0ED06C80" w:rsidR="00CD6573" w:rsidRPr="008C694C" w:rsidRDefault="00B73D02" w:rsidP="00D562AA">
      <w:pPr>
        <w:spacing w:line="480" w:lineRule="auto"/>
        <w:rPr>
          <w:rFonts w:ascii="Times New Roman" w:hAnsi="Times New Roman" w:cs="Times New Roman"/>
        </w:rPr>
      </w:pPr>
      <w:r w:rsidRPr="008C694C">
        <w:rPr>
          <w:rFonts w:ascii="Times New Roman" w:hAnsi="Times New Roman" w:cs="Times New Roman"/>
        </w:rPr>
        <w:tab/>
      </w:r>
      <w:proofErr w:type="spellStart"/>
      <w:r w:rsidRPr="008C694C">
        <w:rPr>
          <w:rFonts w:ascii="Times New Roman" w:hAnsi="Times New Roman" w:cs="Times New Roman"/>
        </w:rPr>
        <w:t>Backpage</w:t>
      </w:r>
      <w:proofErr w:type="spellEnd"/>
      <w:r w:rsidR="00456F43" w:rsidRPr="008C694C" w:rsidDel="00456F43">
        <w:rPr>
          <w:rFonts w:ascii="Times New Roman" w:hAnsi="Times New Roman" w:cs="Times New Roman"/>
        </w:rPr>
        <w:t xml:space="preserve"> </w:t>
      </w:r>
      <w:r w:rsidR="006B5274" w:rsidRPr="008C694C">
        <w:rPr>
          <w:rFonts w:ascii="Times New Roman" w:hAnsi="Times New Roman" w:cs="Times New Roman"/>
        </w:rPr>
        <w:t>is an online classifieds-style</w:t>
      </w:r>
      <w:r w:rsidRPr="008C694C">
        <w:rPr>
          <w:rFonts w:ascii="Times New Roman" w:hAnsi="Times New Roman" w:cs="Times New Roman"/>
        </w:rPr>
        <w:t xml:space="preserve"> </w:t>
      </w:r>
      <w:r w:rsidR="006B5274" w:rsidRPr="008C694C">
        <w:rPr>
          <w:rFonts w:ascii="Times New Roman" w:hAnsi="Times New Roman" w:cs="Times New Roman"/>
        </w:rPr>
        <w:t xml:space="preserve">advertising </w:t>
      </w:r>
      <w:r w:rsidRPr="008C694C">
        <w:rPr>
          <w:rFonts w:ascii="Times New Roman" w:hAnsi="Times New Roman" w:cs="Times New Roman"/>
        </w:rPr>
        <w:t>s</w:t>
      </w:r>
      <w:r w:rsidR="006B5274" w:rsidRPr="008C694C">
        <w:rPr>
          <w:rFonts w:ascii="Times New Roman" w:hAnsi="Times New Roman" w:cs="Times New Roman"/>
        </w:rPr>
        <w:t xml:space="preserve">ervice. It is </w:t>
      </w:r>
      <w:r w:rsidRPr="008C694C">
        <w:rPr>
          <w:rFonts w:ascii="Times New Roman" w:hAnsi="Times New Roman" w:cs="Times New Roman"/>
        </w:rPr>
        <w:t>primar</w:t>
      </w:r>
      <w:r w:rsidR="006B5274" w:rsidRPr="008C694C">
        <w:rPr>
          <w:rFonts w:ascii="Times New Roman" w:hAnsi="Times New Roman" w:cs="Times New Roman"/>
        </w:rPr>
        <w:t xml:space="preserve">ily known for its </w:t>
      </w:r>
      <w:r w:rsidRPr="008C694C">
        <w:rPr>
          <w:rFonts w:ascii="Times New Roman" w:hAnsi="Times New Roman" w:cs="Times New Roman"/>
        </w:rPr>
        <w:t>“adult</w:t>
      </w:r>
      <w:r w:rsidR="000F4F2C" w:rsidRPr="008C694C">
        <w:rPr>
          <w:rFonts w:ascii="Times New Roman" w:hAnsi="Times New Roman" w:cs="Times New Roman"/>
        </w:rPr>
        <w:t xml:space="preserve"> services” </w:t>
      </w:r>
      <w:r w:rsidR="006B5274" w:rsidRPr="008C694C">
        <w:rPr>
          <w:rFonts w:ascii="Times New Roman" w:hAnsi="Times New Roman" w:cs="Times New Roman"/>
        </w:rPr>
        <w:t>section, and is “the nation’s leading publisher of online prostitution</w:t>
      </w:r>
      <w:r w:rsidR="002F60B3" w:rsidRPr="008C694C">
        <w:rPr>
          <w:rFonts w:ascii="Times New Roman" w:hAnsi="Times New Roman" w:cs="Times New Roman"/>
        </w:rPr>
        <w:t xml:space="preserve"> advertising” now that </w:t>
      </w:r>
      <w:r w:rsidR="00370C29" w:rsidRPr="008C694C">
        <w:rPr>
          <w:rFonts w:ascii="Times New Roman" w:hAnsi="Times New Roman" w:cs="Times New Roman"/>
        </w:rPr>
        <w:t>C</w:t>
      </w:r>
      <w:r w:rsidR="006B5274" w:rsidRPr="008C694C">
        <w:rPr>
          <w:rFonts w:ascii="Times New Roman" w:hAnsi="Times New Roman" w:cs="Times New Roman"/>
        </w:rPr>
        <w:t>raigslist, a similar online classifieds service, shut down its own “adult services” section in 2010.</w:t>
      </w:r>
      <w:r w:rsidR="00CD6573" w:rsidRPr="008C694C">
        <w:rPr>
          <w:rStyle w:val="EndnoteReference"/>
          <w:rFonts w:ascii="Times New Roman" w:hAnsi="Times New Roman" w:cs="Times New Roman"/>
        </w:rPr>
        <w:endnoteReference w:id="3"/>
      </w:r>
      <w:r w:rsidR="00CD6573" w:rsidRPr="008C694C">
        <w:rPr>
          <w:rFonts w:ascii="Times New Roman" w:hAnsi="Times New Roman" w:cs="Times New Roman"/>
        </w:rPr>
        <w:t xml:space="preserve">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is also known to law enforcement as one of the biggest facilitators of sex trafficking, including sex trafficking of minors.</w:t>
      </w:r>
      <w:r w:rsidR="00CD6573" w:rsidRPr="008C694C">
        <w:rPr>
          <w:rStyle w:val="EndnoteReference"/>
          <w:rFonts w:ascii="Times New Roman" w:hAnsi="Times New Roman" w:cs="Times New Roman"/>
        </w:rPr>
        <w:endnoteReference w:id="4"/>
      </w:r>
      <w:r w:rsidR="00CD6573" w:rsidRPr="008C694C">
        <w:rPr>
          <w:rFonts w:ascii="Times New Roman" w:hAnsi="Times New Roman" w:cs="Times New Roman"/>
        </w:rPr>
        <w:t xml:space="preserve"> This is because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is easily accessible and anonymous, making it virtually risk-free for buyers and sellers of sex. In order to advertise their victims for sale on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traffickers and pimps only need to provide an email address and text and images for the ad.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does not require a phone number. Ads are free, but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gives its customers the option of “upgrading” an ad. For a small fee,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will move the ad to the top of the poster’s region every hour (or other specified time period). Traffickers can also pay for the ad to be duplicated across regions. This means that traffickers and pimps can maximize the number of potential customers who will see the ad, leading to more “dates” for their victims and more money for them. </w:t>
      </w:r>
      <w:proofErr w:type="spellStart"/>
      <w:r w:rsidR="00CD6573" w:rsidRPr="008C694C">
        <w:rPr>
          <w:rFonts w:ascii="Times New Roman" w:hAnsi="Times New Roman" w:cs="Times New Roman"/>
        </w:rPr>
        <w:t>Backpage</w:t>
      </w:r>
      <w:proofErr w:type="spellEnd"/>
      <w:r w:rsidR="00CD6573" w:rsidRPr="008C694C">
        <w:rPr>
          <w:rFonts w:ascii="Times New Roman" w:hAnsi="Times New Roman" w:cs="Times New Roman"/>
        </w:rPr>
        <w:t xml:space="preserve"> allows traffickers and pimps to pay for “upgrades” with anonymous forms of payment like </w:t>
      </w:r>
      <w:proofErr w:type="spellStart"/>
      <w:r w:rsidR="00CD6573" w:rsidRPr="008C694C">
        <w:rPr>
          <w:rFonts w:ascii="Times New Roman" w:hAnsi="Times New Roman" w:cs="Times New Roman"/>
        </w:rPr>
        <w:t>Bitcoin</w:t>
      </w:r>
      <w:proofErr w:type="spellEnd"/>
      <w:r w:rsidR="00CD6573" w:rsidRPr="008C694C">
        <w:rPr>
          <w:rFonts w:ascii="Times New Roman" w:hAnsi="Times New Roman" w:cs="Times New Roman"/>
        </w:rPr>
        <w:t xml:space="preserve"> or a prepaid credit card, making it harder for law enforcement to track.</w:t>
      </w:r>
      <w:r w:rsidR="00CD6573" w:rsidRPr="008C694C">
        <w:rPr>
          <w:rStyle w:val="EndnoteReference"/>
          <w:rFonts w:ascii="Times New Roman" w:hAnsi="Times New Roman" w:cs="Times New Roman"/>
        </w:rPr>
        <w:endnoteReference w:id="5"/>
      </w:r>
      <w:r w:rsidR="00CD6573" w:rsidRPr="008C694C">
        <w:rPr>
          <w:rFonts w:ascii="Times New Roman" w:hAnsi="Times New Roman" w:cs="Times New Roman"/>
        </w:rPr>
        <w:t xml:space="preserve"> </w:t>
      </w:r>
    </w:p>
    <w:p w14:paraId="4EBC3DF8" w14:textId="1A6D4FF4" w:rsidR="00CD6573" w:rsidRPr="008C694C" w:rsidRDefault="00CD6573" w:rsidP="00D562AA">
      <w:pPr>
        <w:spacing w:line="480" w:lineRule="auto"/>
        <w:rPr>
          <w:rFonts w:ascii="Times New Roman" w:hAnsi="Times New Roman" w:cs="Times New Roman"/>
        </w:rPr>
      </w:pPr>
      <w:r w:rsidRPr="008C694C">
        <w:rPr>
          <w:rFonts w:ascii="Times New Roman" w:hAnsi="Times New Roman" w:cs="Times New Roman"/>
        </w:rPr>
        <w:tab/>
      </w:r>
      <w:proofErr w:type="spellStart"/>
      <w:r w:rsidRPr="008C694C">
        <w:rPr>
          <w:rFonts w:ascii="Times New Roman" w:hAnsi="Times New Roman" w:cs="Times New Roman"/>
        </w:rPr>
        <w:t>Backpage’s</w:t>
      </w:r>
      <w:proofErr w:type="spellEnd"/>
      <w:r w:rsidRPr="008C694C">
        <w:rPr>
          <w:rFonts w:ascii="Times New Roman" w:hAnsi="Times New Roman" w:cs="Times New Roman"/>
        </w:rPr>
        <w:t xml:space="preserve"> “adult” section also includes ads for children. Convicted child sex traffickers, including some in Pennsylvania, have used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to advertise their victims.</w:t>
      </w:r>
      <w:r w:rsidRPr="008C694C">
        <w:rPr>
          <w:rStyle w:val="EndnoteReference"/>
          <w:rFonts w:ascii="Times New Roman" w:hAnsi="Times New Roman" w:cs="Times New Roman"/>
        </w:rPr>
        <w:endnoteReference w:id="6"/>
      </w:r>
      <w:r w:rsidRPr="008C694C">
        <w:rPr>
          <w:rFonts w:ascii="Times New Roman" w:hAnsi="Times New Roman" w:cs="Times New Roman"/>
        </w:rPr>
        <w:t xml:space="preserve"> Even though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is fully aware that its website is used to facilitate child sex trafficking,</w:t>
      </w:r>
      <w:r w:rsidR="00357D47" w:rsidRPr="008C694C">
        <w:rPr>
          <w:rStyle w:val="EndnoteReference"/>
          <w:rFonts w:ascii="Times New Roman" w:hAnsi="Times New Roman" w:cs="Times New Roman"/>
        </w:rPr>
        <w:endnoteReference w:id="7"/>
      </w:r>
      <w:r w:rsidRPr="008C694C">
        <w:rPr>
          <w:rFonts w:ascii="Times New Roman" w:hAnsi="Times New Roman" w:cs="Times New Roman"/>
        </w:rPr>
        <w:t xml:space="preserve"> </w:t>
      </w:r>
      <w:r w:rsidR="00015CC6" w:rsidRPr="008C694C">
        <w:rPr>
          <w:rFonts w:ascii="Times New Roman" w:hAnsi="Times New Roman" w:cs="Times New Roman"/>
        </w:rPr>
        <w:t>not much is known about its internal practices to keep ads for child sex off its website</w:t>
      </w:r>
      <w:r w:rsidRPr="008C694C">
        <w:rPr>
          <w:rFonts w:ascii="Times New Roman" w:hAnsi="Times New Roman" w:cs="Times New Roman"/>
        </w:rPr>
        <w:t>.</w:t>
      </w:r>
      <w:r w:rsidR="00015CC6" w:rsidRPr="008C694C">
        <w:rPr>
          <w:rFonts w:ascii="Times New Roman" w:hAnsi="Times New Roman" w:cs="Times New Roman"/>
        </w:rPr>
        <w:t xml:space="preserve"> It outwardly claims that it </w:t>
      </w:r>
      <w:r w:rsidR="00562113" w:rsidRPr="008C694C">
        <w:rPr>
          <w:rFonts w:ascii="Times New Roman" w:hAnsi="Times New Roman" w:cs="Times New Roman"/>
        </w:rPr>
        <w:t>has “strict content policies to prevent illegal activity.”</w:t>
      </w:r>
      <w:r w:rsidR="00562113" w:rsidRPr="008C694C">
        <w:rPr>
          <w:rStyle w:val="EndnoteReference"/>
          <w:rFonts w:ascii="Times New Roman" w:hAnsi="Times New Roman" w:cs="Times New Roman"/>
        </w:rPr>
        <w:endnoteReference w:id="8"/>
      </w:r>
      <w:r w:rsidR="00562113" w:rsidRPr="008C694C">
        <w:rPr>
          <w:rFonts w:ascii="Times New Roman" w:hAnsi="Times New Roman" w:cs="Times New Roman"/>
        </w:rPr>
        <w:t xml:space="preserve"> </w:t>
      </w:r>
      <w:r w:rsidRPr="008C694C">
        <w:rPr>
          <w:rFonts w:ascii="Times New Roman" w:hAnsi="Times New Roman" w:cs="Times New Roman"/>
        </w:rPr>
        <w:t xml:space="preserve"> </w:t>
      </w:r>
      <w:r w:rsidR="00562113" w:rsidRPr="008C694C">
        <w:rPr>
          <w:rFonts w:ascii="Times New Roman" w:hAnsi="Times New Roman" w:cs="Times New Roman"/>
        </w:rPr>
        <w:t>But i</w:t>
      </w:r>
      <w:r w:rsidRPr="008C694C">
        <w:rPr>
          <w:rFonts w:ascii="Times New Roman" w:hAnsi="Times New Roman" w:cs="Times New Roman"/>
        </w:rPr>
        <w:t xml:space="preserve">t also refuses to take down ads, even when it receives reports that an ad features children. During a hearing on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before the Senate Committee on Homeland Security and Governmental Affairs, </w:t>
      </w:r>
      <w:proofErr w:type="spellStart"/>
      <w:r w:rsidRPr="008C694C">
        <w:rPr>
          <w:rFonts w:ascii="Times New Roman" w:hAnsi="Times New Roman" w:cs="Times New Roman"/>
        </w:rPr>
        <w:t>Yiota</w:t>
      </w:r>
      <w:proofErr w:type="spellEnd"/>
      <w:r w:rsidRPr="008C694C">
        <w:rPr>
          <w:rFonts w:ascii="Times New Roman" w:hAnsi="Times New Roman" w:cs="Times New Roman"/>
        </w:rPr>
        <w:t xml:space="preserve"> </w:t>
      </w:r>
      <w:proofErr w:type="spellStart"/>
      <w:r w:rsidRPr="008C694C">
        <w:rPr>
          <w:rFonts w:ascii="Times New Roman" w:hAnsi="Times New Roman" w:cs="Times New Roman"/>
        </w:rPr>
        <w:t>Souras</w:t>
      </w:r>
      <w:proofErr w:type="spellEnd"/>
      <w:r w:rsidRPr="008C694C">
        <w:rPr>
          <w:rFonts w:ascii="Times New Roman" w:hAnsi="Times New Roman" w:cs="Times New Roman"/>
        </w:rPr>
        <w:t xml:space="preserve"> of The National Center for Missing and Exploited Children testified that comments from family members reporting ads featuring their underage sisters or daughters show that previous reports to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went unanswered: </w:t>
      </w:r>
    </w:p>
    <w:p w14:paraId="2C1AB7CE" w14:textId="0B8AE30E" w:rsidR="00CD6573" w:rsidRPr="008C694C" w:rsidRDefault="00CD6573" w:rsidP="00642054">
      <w:pPr>
        <w:ind w:left="720"/>
        <w:rPr>
          <w:rFonts w:ascii="Times New Roman" w:hAnsi="Times New Roman" w:cs="Times New Roman"/>
        </w:rPr>
      </w:pPr>
      <w:r w:rsidRPr="008C694C">
        <w:rPr>
          <w:rFonts w:ascii="Times New Roman" w:hAnsi="Times New Roman" w:cs="Times New Roman"/>
        </w:rPr>
        <w:t xml:space="preserve">“My name is </w:t>
      </w:r>
      <w:proofErr w:type="gramStart"/>
      <w:r w:rsidRPr="008C694C">
        <w:rPr>
          <w:rFonts w:ascii="Times New Roman" w:hAnsi="Times New Roman" w:cs="Times New Roman"/>
        </w:rPr>
        <w:t>[ ]</w:t>
      </w:r>
      <w:proofErr w:type="gramEnd"/>
      <w:r w:rsidRPr="008C694C">
        <w:rPr>
          <w:rFonts w:ascii="Times New Roman" w:hAnsi="Times New Roman" w:cs="Times New Roman"/>
        </w:rPr>
        <w:t xml:space="preserve"> and my wife is [ ]. Your website has ads featuring ads of our 16-year old daughter, </w:t>
      </w:r>
      <w:proofErr w:type="gramStart"/>
      <w:r w:rsidRPr="008C694C">
        <w:rPr>
          <w:rFonts w:ascii="Times New Roman" w:hAnsi="Times New Roman" w:cs="Times New Roman"/>
        </w:rPr>
        <w:t>[ ]</w:t>
      </w:r>
      <w:proofErr w:type="gramEnd"/>
      <w:r w:rsidRPr="008C694C">
        <w:rPr>
          <w:rFonts w:ascii="Times New Roman" w:hAnsi="Times New Roman" w:cs="Times New Roman"/>
        </w:rPr>
        <w:t xml:space="preserve"> posing as an escort. She is being pimped out by her old bf, and she is underage. I have emailed the ad multiple times using your website, but have gotten no response. For God’s sake, she’s only 16.”</w:t>
      </w:r>
      <w:r w:rsidRPr="008C694C">
        <w:rPr>
          <w:rStyle w:val="EndnoteReference"/>
          <w:rFonts w:ascii="Times New Roman" w:hAnsi="Times New Roman" w:cs="Times New Roman"/>
        </w:rPr>
        <w:endnoteReference w:id="9"/>
      </w:r>
      <w:r w:rsidRPr="008C694C">
        <w:rPr>
          <w:rFonts w:ascii="Times New Roman" w:hAnsi="Times New Roman" w:cs="Times New Roman"/>
        </w:rPr>
        <w:t xml:space="preserve"> </w:t>
      </w:r>
    </w:p>
    <w:p w14:paraId="594532D7" w14:textId="77777777" w:rsidR="00CD6573" w:rsidRPr="008C694C" w:rsidRDefault="00CD6573" w:rsidP="00642054">
      <w:pPr>
        <w:rPr>
          <w:rFonts w:ascii="Times New Roman" w:hAnsi="Times New Roman" w:cs="Times New Roman"/>
        </w:rPr>
      </w:pPr>
    </w:p>
    <w:p w14:paraId="5AEFEFA3" w14:textId="66266A36" w:rsidR="00CD6573" w:rsidRPr="008C694C" w:rsidRDefault="00CD6573" w:rsidP="00D562AA">
      <w:pPr>
        <w:spacing w:line="480" w:lineRule="auto"/>
        <w:ind w:firstLine="720"/>
        <w:rPr>
          <w:rFonts w:ascii="Times New Roman" w:hAnsi="Times New Roman" w:cs="Times New Roman"/>
        </w:rPr>
      </w:pPr>
      <w:proofErr w:type="spellStart"/>
      <w:r w:rsidRPr="008C694C">
        <w:rPr>
          <w:rFonts w:ascii="Times New Roman" w:hAnsi="Times New Roman" w:cs="Times New Roman"/>
        </w:rPr>
        <w:t>Backpage’s</w:t>
      </w:r>
      <w:proofErr w:type="spellEnd"/>
      <w:r w:rsidRPr="008C694C">
        <w:rPr>
          <w:rFonts w:ascii="Times New Roman" w:hAnsi="Times New Roman" w:cs="Times New Roman"/>
        </w:rPr>
        <w:t xml:space="preserve"> recalcitrance to stop facilitating child sex trafficking on its website is motivated by one thing: money. A study by the AIM Group, conducted in 2013, approximated that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had $22.7 million in annual revenue from its “adult services” section.</w:t>
      </w:r>
      <w:r w:rsidRPr="008C694C">
        <w:rPr>
          <w:rStyle w:val="EndnoteReference"/>
          <w:rFonts w:ascii="Times New Roman" w:hAnsi="Times New Roman" w:cs="Times New Roman"/>
        </w:rPr>
        <w:endnoteReference w:id="10"/>
      </w:r>
    </w:p>
    <w:p w14:paraId="3BD4C7AB" w14:textId="6EAEF32B" w:rsidR="00CD6573" w:rsidRPr="008C694C" w:rsidRDefault="00CD6573" w:rsidP="00CF051E">
      <w:pPr>
        <w:spacing w:line="480" w:lineRule="auto"/>
        <w:rPr>
          <w:rFonts w:ascii="Times New Roman" w:hAnsi="Times New Roman" w:cs="Times New Roman"/>
        </w:rPr>
      </w:pPr>
      <w:r w:rsidRPr="008C694C">
        <w:rPr>
          <w:rFonts w:ascii="Times New Roman" w:hAnsi="Times New Roman" w:cs="Times New Roman"/>
        </w:rPr>
        <w:tab/>
        <w:t xml:space="preserve">Although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is the primary means by which traffickers use the Internet to exploit their victims, the World Wide Web provides traffickers and pimps an easy way to recruit and groom their victims. Traffickers engage with potential victims using profile-based social media sites like Facebook and MySpace and then gain their trust by “expressing love and admiration of the victim, promising to make the victim a star, and providing a ticket to a new location away from the victim’s home.”</w:t>
      </w:r>
      <w:r w:rsidRPr="008C694C">
        <w:rPr>
          <w:rStyle w:val="EndnoteReference"/>
          <w:rFonts w:ascii="Times New Roman" w:hAnsi="Times New Roman" w:cs="Times New Roman"/>
        </w:rPr>
        <w:endnoteReference w:id="11"/>
      </w:r>
      <w:r w:rsidRPr="008C694C">
        <w:rPr>
          <w:rFonts w:ascii="Times New Roman" w:hAnsi="Times New Roman" w:cs="Times New Roman"/>
        </w:rPr>
        <w:t xml:space="preserve"> In one case in Pennsylvania, a convicted child sex trafficker created a fake female profile on Facebook to befriend troubled teens online and recruit them to sell sex for him.</w:t>
      </w:r>
      <w:r w:rsidRPr="008C694C">
        <w:rPr>
          <w:rStyle w:val="EndnoteReference"/>
          <w:rFonts w:ascii="Times New Roman" w:hAnsi="Times New Roman" w:cs="Times New Roman"/>
        </w:rPr>
        <w:endnoteReference w:id="12"/>
      </w:r>
    </w:p>
    <w:p w14:paraId="53449CDC" w14:textId="674ACA80" w:rsidR="00CD6573" w:rsidRPr="008C694C" w:rsidRDefault="00CD6573" w:rsidP="00AE4D56">
      <w:pPr>
        <w:pStyle w:val="ListParagraph"/>
        <w:numPr>
          <w:ilvl w:val="0"/>
          <w:numId w:val="2"/>
        </w:numPr>
        <w:rPr>
          <w:rFonts w:ascii="Times New Roman" w:hAnsi="Times New Roman" w:cs="Times New Roman"/>
          <w:b/>
          <w:u w:val="single"/>
        </w:rPr>
      </w:pPr>
      <w:r w:rsidRPr="008C694C">
        <w:rPr>
          <w:rFonts w:ascii="Times New Roman" w:hAnsi="Times New Roman" w:cs="Times New Roman"/>
          <w:b/>
          <w:u w:val="single"/>
        </w:rPr>
        <w:t>Civil Remedies Available for Sex Trafficking Victims</w:t>
      </w:r>
    </w:p>
    <w:p w14:paraId="51348029" w14:textId="77777777" w:rsidR="00CD6573" w:rsidRPr="008C694C" w:rsidRDefault="00CD6573" w:rsidP="004B6FF3">
      <w:pPr>
        <w:jc w:val="center"/>
        <w:rPr>
          <w:rFonts w:ascii="Times New Roman" w:hAnsi="Times New Roman" w:cs="Times New Roman"/>
        </w:rPr>
      </w:pPr>
    </w:p>
    <w:p w14:paraId="12A76146" w14:textId="3DC87D94" w:rsidR="003417B4" w:rsidRPr="008C694C" w:rsidRDefault="00CD6573" w:rsidP="00FE6BA8">
      <w:pPr>
        <w:spacing w:line="480" w:lineRule="auto"/>
        <w:rPr>
          <w:rFonts w:ascii="Times New Roman" w:hAnsi="Times New Roman" w:cs="Times New Roman"/>
        </w:rPr>
      </w:pPr>
      <w:r w:rsidRPr="008C694C">
        <w:rPr>
          <w:rFonts w:ascii="Times New Roman" w:hAnsi="Times New Roman" w:cs="Times New Roman"/>
        </w:rPr>
        <w:tab/>
        <w:t>Due to mounting public awareness and recent action by federal and state legislatures</w:t>
      </w:r>
      <w:r w:rsidRPr="008C694C">
        <w:rPr>
          <w:rStyle w:val="EndnoteReference"/>
          <w:rFonts w:ascii="Times New Roman" w:hAnsi="Times New Roman" w:cs="Times New Roman"/>
        </w:rPr>
        <w:endnoteReference w:id="13"/>
      </w:r>
      <w:r w:rsidRPr="008C694C">
        <w:rPr>
          <w:rFonts w:ascii="Times New Roman" w:hAnsi="Times New Roman" w:cs="Times New Roman"/>
        </w:rPr>
        <w:t>, national and local law enforcement have increased their efforts to investigate and prosecute sex traffickers. Civil litigators, however, have lagged behind in helping sex trafficking victims secure justice</w:t>
      </w:r>
      <w:r w:rsidR="00357D47" w:rsidRPr="008C694C">
        <w:rPr>
          <w:rStyle w:val="EndnoteReference"/>
          <w:rFonts w:ascii="Times New Roman" w:hAnsi="Times New Roman" w:cs="Times New Roman"/>
        </w:rPr>
        <w:endnoteReference w:id="14"/>
      </w:r>
      <w:r w:rsidR="00357D47" w:rsidRPr="008C694C">
        <w:rPr>
          <w:rFonts w:ascii="Times New Roman" w:hAnsi="Times New Roman" w:cs="Times New Roman"/>
        </w:rPr>
        <w:t xml:space="preserve"> </w:t>
      </w:r>
      <w:proofErr w:type="gramStart"/>
      <w:r w:rsidR="00357D47" w:rsidRPr="008C694C">
        <w:rPr>
          <w:rFonts w:ascii="Times New Roman" w:hAnsi="Times New Roman" w:cs="Times New Roman"/>
        </w:rPr>
        <w:t xml:space="preserve">-  </w:t>
      </w:r>
      <w:r w:rsidRPr="008C694C">
        <w:rPr>
          <w:rFonts w:ascii="Times New Roman" w:hAnsi="Times New Roman" w:cs="Times New Roman"/>
        </w:rPr>
        <w:t>despite</w:t>
      </w:r>
      <w:proofErr w:type="gramEnd"/>
      <w:r w:rsidRPr="008C694C">
        <w:rPr>
          <w:rFonts w:ascii="Times New Roman" w:hAnsi="Times New Roman" w:cs="Times New Roman"/>
        </w:rPr>
        <w:t xml:space="preserve"> robust civil remedies that permit sex trafficking victims to sue their traffickers.</w:t>
      </w:r>
      <w:r w:rsidRPr="008C694C">
        <w:rPr>
          <w:rStyle w:val="EndnoteReference"/>
          <w:rFonts w:ascii="Times New Roman" w:hAnsi="Times New Roman" w:cs="Times New Roman"/>
        </w:rPr>
        <w:endnoteReference w:id="15"/>
      </w:r>
      <w:r w:rsidRPr="008C694C">
        <w:rPr>
          <w:rFonts w:ascii="Times New Roman" w:hAnsi="Times New Roman" w:cs="Times New Roman"/>
        </w:rPr>
        <w:t xml:space="preserve"> Unfortunately for sex trafficking victims, civil lawsuits against their traffickers and pimps are unlikely to yield large enough recoveries to make bringing a civil </w:t>
      </w:r>
      <w:proofErr w:type="gramStart"/>
      <w:r w:rsidRPr="008C694C">
        <w:rPr>
          <w:rFonts w:ascii="Times New Roman" w:hAnsi="Times New Roman" w:cs="Times New Roman"/>
        </w:rPr>
        <w:t>action  worthwhile</w:t>
      </w:r>
      <w:proofErr w:type="gramEnd"/>
      <w:r w:rsidRPr="008C694C">
        <w:rPr>
          <w:rFonts w:ascii="Times New Roman" w:hAnsi="Times New Roman" w:cs="Times New Roman"/>
        </w:rPr>
        <w:t>.</w:t>
      </w:r>
      <w:r w:rsidRPr="008C694C">
        <w:rPr>
          <w:rStyle w:val="EndnoteReference"/>
          <w:rFonts w:ascii="Times New Roman" w:hAnsi="Times New Roman" w:cs="Times New Roman"/>
        </w:rPr>
        <w:endnoteReference w:id="16"/>
      </w:r>
      <w:r w:rsidRPr="008C694C">
        <w:rPr>
          <w:rFonts w:ascii="Times New Roman" w:hAnsi="Times New Roman" w:cs="Times New Roman"/>
        </w:rPr>
        <w:t xml:space="preserve"> </w:t>
      </w:r>
      <w:r w:rsidR="00FC315C" w:rsidRPr="008C694C">
        <w:rPr>
          <w:rFonts w:ascii="Times New Roman" w:hAnsi="Times New Roman" w:cs="Times New Roman"/>
        </w:rPr>
        <w:t xml:space="preserve"> The emotion</w:t>
      </w:r>
      <w:r w:rsidR="0055307B" w:rsidRPr="008C694C">
        <w:rPr>
          <w:rFonts w:ascii="Times New Roman" w:hAnsi="Times New Roman" w:cs="Times New Roman"/>
        </w:rPr>
        <w:t>al</w:t>
      </w:r>
      <w:r w:rsidR="00FC315C" w:rsidRPr="008C694C">
        <w:rPr>
          <w:rFonts w:ascii="Times New Roman" w:hAnsi="Times New Roman" w:cs="Times New Roman"/>
        </w:rPr>
        <w:t xml:space="preserve"> and financial cost of litigating a civil tort action is likely to exceed </w:t>
      </w:r>
      <w:r w:rsidR="00ED4DD5" w:rsidRPr="008C694C">
        <w:rPr>
          <w:rFonts w:ascii="Times New Roman" w:hAnsi="Times New Roman" w:cs="Times New Roman"/>
        </w:rPr>
        <w:t>any</w:t>
      </w:r>
      <w:r w:rsidR="00FC315C" w:rsidRPr="008C694C">
        <w:rPr>
          <w:rFonts w:ascii="Times New Roman" w:hAnsi="Times New Roman" w:cs="Times New Roman"/>
        </w:rPr>
        <w:t xml:space="preserve"> </w:t>
      </w:r>
      <w:r w:rsidR="00ED4DD5" w:rsidRPr="008C694C">
        <w:rPr>
          <w:rFonts w:ascii="Times New Roman" w:hAnsi="Times New Roman" w:cs="Times New Roman"/>
        </w:rPr>
        <w:t xml:space="preserve">potential recovery </w:t>
      </w:r>
      <w:r w:rsidR="00FC315C" w:rsidRPr="008C694C">
        <w:rPr>
          <w:rFonts w:ascii="Times New Roman" w:hAnsi="Times New Roman" w:cs="Times New Roman"/>
        </w:rPr>
        <w:t xml:space="preserve">against </w:t>
      </w:r>
      <w:r w:rsidR="00ED4DD5" w:rsidRPr="008C694C">
        <w:rPr>
          <w:rFonts w:ascii="Times New Roman" w:hAnsi="Times New Roman" w:cs="Times New Roman"/>
        </w:rPr>
        <w:t>defendants</w:t>
      </w:r>
      <w:r w:rsidR="00FC315C" w:rsidRPr="008C694C">
        <w:rPr>
          <w:rFonts w:ascii="Times New Roman" w:hAnsi="Times New Roman" w:cs="Times New Roman"/>
        </w:rPr>
        <w:t xml:space="preserve"> who are “judgment proof” (</w:t>
      </w:r>
      <w:r w:rsidR="00ED4DD5" w:rsidRPr="008C694C">
        <w:rPr>
          <w:rFonts w:ascii="Times New Roman" w:hAnsi="Times New Roman" w:cs="Times New Roman"/>
        </w:rPr>
        <w:t xml:space="preserve">that is, </w:t>
      </w:r>
      <w:r w:rsidR="00FC315C" w:rsidRPr="008C694C">
        <w:rPr>
          <w:rFonts w:ascii="Times New Roman" w:hAnsi="Times New Roman" w:cs="Times New Roman"/>
        </w:rPr>
        <w:t xml:space="preserve">unable to pay the damages awarded by the jury).  </w:t>
      </w:r>
    </w:p>
    <w:p w14:paraId="0A4297EA" w14:textId="0AF52BAB" w:rsidR="00CD6573" w:rsidRPr="008C694C" w:rsidRDefault="00CD6573" w:rsidP="00456F43">
      <w:pPr>
        <w:spacing w:line="480" w:lineRule="auto"/>
        <w:ind w:firstLine="360"/>
        <w:rPr>
          <w:rFonts w:ascii="Times New Roman" w:hAnsi="Times New Roman" w:cs="Times New Roman"/>
        </w:rPr>
      </w:pPr>
      <w:r w:rsidRPr="008C694C">
        <w:rPr>
          <w:rFonts w:ascii="Times New Roman" w:hAnsi="Times New Roman" w:cs="Times New Roman"/>
        </w:rPr>
        <w:t>However, the civil remedy in Pennsylvania’s anti-trafficking law</w:t>
      </w:r>
      <w:r w:rsidR="0055307B" w:rsidRPr="008C694C">
        <w:rPr>
          <w:rFonts w:ascii="Times New Roman" w:hAnsi="Times New Roman" w:cs="Times New Roman"/>
        </w:rPr>
        <w:t xml:space="preserve"> </w:t>
      </w:r>
      <w:r w:rsidRPr="008C694C">
        <w:rPr>
          <w:rFonts w:ascii="Times New Roman" w:hAnsi="Times New Roman" w:cs="Times New Roman"/>
        </w:rPr>
        <w:t>extends civil liability beyond traffickers and pimps, permitting “any individual who is a victim of the sex trade” to “bring a civil action . . . against a person that . . . knowingly advertises or publishes advertisements for purposes of recruitment into sex trade activity.”</w:t>
      </w:r>
      <w:r w:rsidRPr="008C694C">
        <w:rPr>
          <w:rStyle w:val="EndnoteReference"/>
          <w:rFonts w:ascii="Times New Roman" w:hAnsi="Times New Roman" w:cs="Times New Roman"/>
        </w:rPr>
        <w:endnoteReference w:id="17"/>
      </w:r>
      <w:r w:rsidRPr="008C694C">
        <w:rPr>
          <w:rFonts w:ascii="Times New Roman" w:hAnsi="Times New Roman" w:cs="Times New Roman"/>
        </w:rPr>
        <w:t xml:space="preserve"> This specific provision allows sex trafficking victims in Pennsylvania to sue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a defendant with potentially much bigger pockets than a pimp. </w:t>
      </w:r>
      <w:r w:rsidR="00857551" w:rsidRPr="008C694C">
        <w:rPr>
          <w:rFonts w:ascii="Times New Roman" w:hAnsi="Times New Roman" w:cs="Times New Roman"/>
        </w:rPr>
        <w:t xml:space="preserve">In other states, plaintiffs have sued </w:t>
      </w:r>
      <w:proofErr w:type="spellStart"/>
      <w:r w:rsidR="00857551" w:rsidRPr="008C694C">
        <w:rPr>
          <w:rFonts w:ascii="Times New Roman" w:hAnsi="Times New Roman" w:cs="Times New Roman"/>
        </w:rPr>
        <w:t>Backpage</w:t>
      </w:r>
      <w:proofErr w:type="spellEnd"/>
      <w:r w:rsidR="00857551" w:rsidRPr="008C694C">
        <w:rPr>
          <w:rFonts w:ascii="Times New Roman" w:hAnsi="Times New Roman" w:cs="Times New Roman"/>
        </w:rPr>
        <w:t xml:space="preserve"> under various tort liability theories and under provisions in their state and the federal anti-trafficking law that provide a right to civil action against those who “knowingly </w:t>
      </w:r>
      <w:proofErr w:type="gramStart"/>
      <w:r w:rsidR="00857551" w:rsidRPr="008C694C">
        <w:rPr>
          <w:rFonts w:ascii="Times New Roman" w:hAnsi="Times New Roman" w:cs="Times New Roman"/>
        </w:rPr>
        <w:t>benefit[</w:t>
      </w:r>
      <w:proofErr w:type="gramEnd"/>
      <w:r w:rsidR="00857551" w:rsidRPr="008C694C">
        <w:rPr>
          <w:rFonts w:ascii="Times New Roman" w:hAnsi="Times New Roman" w:cs="Times New Roman"/>
        </w:rPr>
        <w:t>], financially” from a victim’s trafficking.</w:t>
      </w:r>
      <w:r w:rsidRPr="008C694C">
        <w:rPr>
          <w:rStyle w:val="EndnoteReference"/>
          <w:rFonts w:ascii="Times New Roman" w:hAnsi="Times New Roman" w:cs="Times New Roman"/>
        </w:rPr>
        <w:endnoteReference w:id="18"/>
      </w:r>
      <w:r w:rsidRPr="008C694C">
        <w:rPr>
          <w:rFonts w:ascii="Times New Roman" w:hAnsi="Times New Roman" w:cs="Times New Roman"/>
        </w:rPr>
        <w:t xml:space="preserve"> Unfortunately, a federal statute, the Communications Decency Act (CDA), has created challenges for plaintiffs seeking to sue </w:t>
      </w: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w:t>
      </w:r>
    </w:p>
    <w:p w14:paraId="2BEC2DD6" w14:textId="316E262A" w:rsidR="00CD6573" w:rsidRPr="008C694C" w:rsidRDefault="00CD6573" w:rsidP="006E3C64">
      <w:pPr>
        <w:pStyle w:val="ListParagraph"/>
        <w:numPr>
          <w:ilvl w:val="0"/>
          <w:numId w:val="2"/>
        </w:numPr>
        <w:rPr>
          <w:rFonts w:ascii="Times New Roman" w:hAnsi="Times New Roman" w:cs="Times New Roman"/>
          <w:b/>
          <w:u w:val="single"/>
        </w:rPr>
      </w:pPr>
      <w:r w:rsidRPr="008C694C">
        <w:rPr>
          <w:rFonts w:ascii="Times New Roman" w:hAnsi="Times New Roman" w:cs="Times New Roman"/>
          <w:b/>
          <w:u w:val="single"/>
        </w:rPr>
        <w:t xml:space="preserve">The Communications Decency Act Section 230 </w:t>
      </w:r>
    </w:p>
    <w:p w14:paraId="1EA73E24" w14:textId="77777777" w:rsidR="00CD6573" w:rsidRPr="008C694C" w:rsidRDefault="00CD6573" w:rsidP="004B6FF3">
      <w:pPr>
        <w:jc w:val="center"/>
        <w:rPr>
          <w:rFonts w:ascii="Times New Roman" w:hAnsi="Times New Roman" w:cs="Times New Roman"/>
          <w:b/>
          <w:u w:val="single"/>
        </w:rPr>
      </w:pPr>
    </w:p>
    <w:p w14:paraId="0A69179B" w14:textId="14068703" w:rsidR="00CD6573" w:rsidRPr="008C694C" w:rsidRDefault="00CD6573" w:rsidP="00D562AA">
      <w:pPr>
        <w:spacing w:line="480" w:lineRule="auto"/>
        <w:ind w:firstLine="720"/>
        <w:rPr>
          <w:rFonts w:ascii="Times New Roman" w:hAnsi="Times New Roman" w:cs="Times New Roman"/>
        </w:rPr>
      </w:pPr>
      <w:r w:rsidRPr="008C694C">
        <w:rPr>
          <w:rFonts w:ascii="Times New Roman" w:hAnsi="Times New Roman" w:cs="Times New Roman"/>
        </w:rPr>
        <w:t>Under CDA section 230(c)(1), “[</w:t>
      </w:r>
      <w:proofErr w:type="gramStart"/>
      <w:r w:rsidRPr="008C694C">
        <w:rPr>
          <w:rFonts w:ascii="Times New Roman" w:hAnsi="Times New Roman" w:cs="Times New Roman"/>
        </w:rPr>
        <w:t>n]o</w:t>
      </w:r>
      <w:proofErr w:type="gramEnd"/>
      <w:r w:rsidRPr="008C694C">
        <w:rPr>
          <w:rFonts w:ascii="Times New Roman" w:hAnsi="Times New Roman" w:cs="Times New Roman"/>
        </w:rPr>
        <w:t xml:space="preserve"> provider or user of an interactive computer service shall be treated as the publisher or speaker of any information provided by another information content provider.”</w:t>
      </w:r>
      <w:r w:rsidRPr="008C694C">
        <w:rPr>
          <w:rStyle w:val="EndnoteReference"/>
          <w:rFonts w:ascii="Times New Roman" w:hAnsi="Times New Roman" w:cs="Times New Roman"/>
        </w:rPr>
        <w:endnoteReference w:id="19"/>
      </w:r>
      <w:r w:rsidRPr="008C694C">
        <w:rPr>
          <w:rFonts w:ascii="Times New Roman" w:hAnsi="Times New Roman" w:cs="Times New Roman"/>
        </w:rPr>
        <w:t xml:space="preserve"> This means that websites that </w:t>
      </w:r>
      <w:r w:rsidRPr="008C694C">
        <w:rPr>
          <w:rFonts w:ascii="Times New Roman" w:hAnsi="Times New Roman" w:cs="Times New Roman"/>
          <w:i/>
        </w:rPr>
        <w:t>passively</w:t>
      </w:r>
      <w:r w:rsidRPr="008C694C">
        <w:rPr>
          <w:rFonts w:ascii="Times New Roman" w:hAnsi="Times New Roman" w:cs="Times New Roman"/>
        </w:rPr>
        <w:t xml:space="preserve"> </w:t>
      </w:r>
      <w:r w:rsidRPr="008C694C">
        <w:rPr>
          <w:rFonts w:ascii="Times New Roman" w:hAnsi="Times New Roman" w:cs="Times New Roman"/>
          <w:i/>
        </w:rPr>
        <w:t>host</w:t>
      </w:r>
      <w:r w:rsidRPr="008C694C">
        <w:rPr>
          <w:rFonts w:ascii="Times New Roman" w:hAnsi="Times New Roman" w:cs="Times New Roman"/>
        </w:rPr>
        <w:t xml:space="preserve"> content created by website users cannot be sued if the cause of action treats the website as if </w:t>
      </w:r>
      <w:r w:rsidRPr="008C694C">
        <w:rPr>
          <w:rFonts w:ascii="Times New Roman" w:hAnsi="Times New Roman" w:cs="Times New Roman"/>
          <w:i/>
        </w:rPr>
        <w:t>it</w:t>
      </w:r>
      <w:r w:rsidRPr="008C694C">
        <w:rPr>
          <w:rFonts w:ascii="Times New Roman" w:hAnsi="Times New Roman" w:cs="Times New Roman"/>
        </w:rPr>
        <w:t xml:space="preserve"> created or published that user-created content. </w:t>
      </w:r>
    </w:p>
    <w:p w14:paraId="3899308B" w14:textId="3EA1E5ED" w:rsidR="00CD6573" w:rsidRPr="008C694C" w:rsidRDefault="00CD6573" w:rsidP="00D562AA">
      <w:pPr>
        <w:spacing w:line="480" w:lineRule="auto"/>
        <w:ind w:firstLine="720"/>
        <w:rPr>
          <w:rFonts w:ascii="Times New Roman" w:hAnsi="Times New Roman" w:cs="Times New Roman"/>
        </w:rPr>
      </w:pPr>
      <w:r w:rsidRPr="008C694C">
        <w:rPr>
          <w:rFonts w:ascii="Times New Roman" w:hAnsi="Times New Roman" w:cs="Times New Roman"/>
        </w:rPr>
        <w:t>In early cases interpreting section 230, courts characterized section 230’s immunity as “broad” and “robust,” “immunizing interactive computer services from liability for information that originates with third parties.”</w:t>
      </w:r>
      <w:r w:rsidRPr="008C694C">
        <w:rPr>
          <w:rStyle w:val="EndnoteReference"/>
          <w:rFonts w:ascii="Times New Roman" w:hAnsi="Times New Roman" w:cs="Times New Roman"/>
        </w:rPr>
        <w:endnoteReference w:id="20"/>
      </w:r>
      <w:r w:rsidRPr="008C694C">
        <w:rPr>
          <w:rFonts w:ascii="Times New Roman" w:hAnsi="Times New Roman" w:cs="Times New Roman"/>
        </w:rPr>
        <w:t xml:space="preserve"> Internet freedom groups have argued that courts must continue to interpret section 230 broadly, providing an </w:t>
      </w:r>
      <w:r w:rsidRPr="008C694C">
        <w:rPr>
          <w:rFonts w:ascii="Times New Roman" w:hAnsi="Times New Roman" w:cs="Times New Roman"/>
          <w:i/>
        </w:rPr>
        <w:t>automatic</w:t>
      </w:r>
      <w:r w:rsidRPr="008C694C">
        <w:rPr>
          <w:rFonts w:ascii="Times New Roman" w:hAnsi="Times New Roman" w:cs="Times New Roman"/>
        </w:rPr>
        <w:t xml:space="preserve"> bar to </w:t>
      </w:r>
      <w:r w:rsidRPr="008C694C">
        <w:rPr>
          <w:rFonts w:ascii="Times New Roman" w:hAnsi="Times New Roman" w:cs="Times New Roman"/>
          <w:i/>
        </w:rPr>
        <w:t>all</w:t>
      </w:r>
      <w:r w:rsidRPr="008C694C">
        <w:rPr>
          <w:rFonts w:ascii="Times New Roman" w:hAnsi="Times New Roman" w:cs="Times New Roman"/>
        </w:rPr>
        <w:t xml:space="preserve"> </w:t>
      </w:r>
      <w:r w:rsidR="00C00179" w:rsidRPr="008C694C">
        <w:rPr>
          <w:rFonts w:ascii="Times New Roman" w:hAnsi="Times New Roman" w:cs="Times New Roman"/>
        </w:rPr>
        <w:t>civil</w:t>
      </w:r>
      <w:r w:rsidRPr="008C694C">
        <w:rPr>
          <w:rFonts w:ascii="Times New Roman" w:hAnsi="Times New Roman" w:cs="Times New Roman"/>
        </w:rPr>
        <w:t xml:space="preserve"> lawsuits that attempt to hold websites liable for content created by their users.</w:t>
      </w:r>
      <w:r w:rsidRPr="008C694C">
        <w:rPr>
          <w:rStyle w:val="EndnoteReference"/>
          <w:rFonts w:ascii="Times New Roman" w:hAnsi="Times New Roman" w:cs="Times New Roman"/>
        </w:rPr>
        <w:endnoteReference w:id="21"/>
      </w:r>
      <w:r w:rsidRPr="008C694C">
        <w:rPr>
          <w:rFonts w:ascii="Times New Roman" w:hAnsi="Times New Roman" w:cs="Times New Roman"/>
        </w:rPr>
        <w:t xml:space="preserve"> Such immunity is necessary, they argue, in order to help create, foster, and maintain the “diverse, expansive Internet we know today.”</w:t>
      </w:r>
      <w:r w:rsidRPr="008C694C">
        <w:rPr>
          <w:rStyle w:val="EndnoteReference"/>
          <w:rFonts w:ascii="Times New Roman" w:hAnsi="Times New Roman" w:cs="Times New Roman"/>
        </w:rPr>
        <w:endnoteReference w:id="22"/>
      </w:r>
    </w:p>
    <w:p w14:paraId="59D1E8DF" w14:textId="26AF5C49" w:rsidR="00513C04" w:rsidRPr="008C694C" w:rsidRDefault="002226F8" w:rsidP="00D562AA">
      <w:pPr>
        <w:spacing w:line="480" w:lineRule="auto"/>
        <w:ind w:firstLine="720"/>
        <w:rPr>
          <w:rFonts w:ascii="Times New Roman" w:hAnsi="Times New Roman" w:cs="Times New Roman"/>
        </w:rPr>
      </w:pPr>
      <w:r w:rsidRPr="008C694C">
        <w:rPr>
          <w:rFonts w:ascii="Times New Roman" w:hAnsi="Times New Roman" w:cs="Times New Roman"/>
        </w:rPr>
        <w:t xml:space="preserve">But courts have more recently </w:t>
      </w:r>
      <w:r w:rsidR="00CE6EB3" w:rsidRPr="008C694C">
        <w:rPr>
          <w:rFonts w:ascii="Times New Roman" w:hAnsi="Times New Roman" w:cs="Times New Roman"/>
        </w:rPr>
        <w:t>departed from an automatic, all-encompassing immunity</w:t>
      </w:r>
      <w:r w:rsidRPr="008C694C">
        <w:rPr>
          <w:rFonts w:ascii="Times New Roman" w:hAnsi="Times New Roman" w:cs="Times New Roman"/>
        </w:rPr>
        <w:t xml:space="preserve">, reasoning that the </w:t>
      </w:r>
      <w:r w:rsidR="00C00179" w:rsidRPr="008C694C">
        <w:rPr>
          <w:rFonts w:ascii="Times New Roman" w:hAnsi="Times New Roman" w:cs="Times New Roman"/>
        </w:rPr>
        <w:t xml:space="preserve">CDA’s </w:t>
      </w:r>
      <w:r w:rsidR="00874274" w:rsidRPr="008C694C">
        <w:rPr>
          <w:rFonts w:ascii="Times New Roman" w:hAnsi="Times New Roman" w:cs="Times New Roman"/>
        </w:rPr>
        <w:t xml:space="preserve">text does not “declare a </w:t>
      </w:r>
      <w:r w:rsidR="00874274" w:rsidRPr="008C694C">
        <w:rPr>
          <w:rFonts w:ascii="Times New Roman" w:hAnsi="Times New Roman" w:cs="Times New Roman"/>
          <w:i/>
        </w:rPr>
        <w:t>general</w:t>
      </w:r>
      <w:r w:rsidR="00874274" w:rsidRPr="008C694C">
        <w:rPr>
          <w:rFonts w:ascii="Times New Roman" w:hAnsi="Times New Roman" w:cs="Times New Roman"/>
        </w:rPr>
        <w:t xml:space="preserve"> immunity from liability from third-party content,” but rather </w:t>
      </w:r>
      <w:r w:rsidR="00A85523" w:rsidRPr="008C694C">
        <w:rPr>
          <w:rFonts w:ascii="Times New Roman" w:hAnsi="Times New Roman" w:cs="Times New Roman"/>
        </w:rPr>
        <w:t>requires</w:t>
      </w:r>
      <w:r w:rsidR="00DB6380" w:rsidRPr="008C694C">
        <w:rPr>
          <w:rFonts w:ascii="Times New Roman" w:hAnsi="Times New Roman" w:cs="Times New Roman"/>
        </w:rPr>
        <w:t xml:space="preserve"> a</w:t>
      </w:r>
      <w:r w:rsidR="00874274" w:rsidRPr="008C694C">
        <w:rPr>
          <w:rFonts w:ascii="Times New Roman" w:hAnsi="Times New Roman" w:cs="Times New Roman"/>
        </w:rPr>
        <w:t xml:space="preserve"> more narrow </w:t>
      </w:r>
      <w:r w:rsidR="00DB6380" w:rsidRPr="008C694C">
        <w:rPr>
          <w:rFonts w:ascii="Times New Roman" w:hAnsi="Times New Roman" w:cs="Times New Roman"/>
        </w:rPr>
        <w:t>interpretation</w:t>
      </w:r>
      <w:r w:rsidRPr="008C694C">
        <w:rPr>
          <w:rFonts w:ascii="Times New Roman" w:hAnsi="Times New Roman" w:cs="Times New Roman"/>
        </w:rPr>
        <w:t>.</w:t>
      </w:r>
      <w:r w:rsidR="005F609D" w:rsidRPr="008C694C">
        <w:rPr>
          <w:rStyle w:val="EndnoteReference"/>
          <w:rFonts w:ascii="Times New Roman" w:hAnsi="Times New Roman" w:cs="Times New Roman"/>
        </w:rPr>
        <w:endnoteReference w:id="23"/>
      </w:r>
      <w:r w:rsidRPr="008C694C">
        <w:rPr>
          <w:rFonts w:ascii="Times New Roman" w:hAnsi="Times New Roman" w:cs="Times New Roman"/>
        </w:rPr>
        <w:t xml:space="preserve"> </w:t>
      </w:r>
      <w:r w:rsidR="005F609D" w:rsidRPr="008C694C">
        <w:rPr>
          <w:rFonts w:ascii="Times New Roman" w:hAnsi="Times New Roman" w:cs="Times New Roman"/>
        </w:rPr>
        <w:t xml:space="preserve">By its plain terms, Section 230 “only ensures” that </w:t>
      </w:r>
      <w:r w:rsidR="00513C04" w:rsidRPr="008C694C">
        <w:rPr>
          <w:rFonts w:ascii="Times New Roman" w:hAnsi="Times New Roman" w:cs="Times New Roman"/>
        </w:rPr>
        <w:t xml:space="preserve">a plaintiff may not sue </w:t>
      </w:r>
      <w:r w:rsidR="002A1A02" w:rsidRPr="008C694C">
        <w:rPr>
          <w:rFonts w:ascii="Times New Roman" w:hAnsi="Times New Roman" w:cs="Times New Roman"/>
        </w:rPr>
        <w:t>a website</w:t>
      </w:r>
      <w:r w:rsidR="00513C04" w:rsidRPr="008C694C">
        <w:rPr>
          <w:rFonts w:ascii="Times New Roman" w:hAnsi="Times New Roman" w:cs="Times New Roman"/>
        </w:rPr>
        <w:t xml:space="preserve"> when the “plaintiff’s theory of liability would </w:t>
      </w:r>
      <w:r w:rsidR="002A1A02" w:rsidRPr="008C694C">
        <w:rPr>
          <w:rFonts w:ascii="Times New Roman" w:hAnsi="Times New Roman" w:cs="Times New Roman"/>
          <w:i/>
        </w:rPr>
        <w:t>treat [the website]</w:t>
      </w:r>
      <w:r w:rsidR="00513C04" w:rsidRPr="008C694C">
        <w:rPr>
          <w:rFonts w:ascii="Times New Roman" w:hAnsi="Times New Roman" w:cs="Times New Roman"/>
          <w:i/>
        </w:rPr>
        <w:t xml:space="preserve"> defendant as the publisher</w:t>
      </w:r>
      <w:r w:rsidR="00513C04" w:rsidRPr="008C694C">
        <w:rPr>
          <w:rFonts w:ascii="Times New Roman" w:hAnsi="Times New Roman" w:cs="Times New Roman"/>
        </w:rPr>
        <w:t xml:space="preserve"> or speaker of third-party content.”</w:t>
      </w:r>
      <w:r w:rsidR="00E637B6" w:rsidRPr="008C694C">
        <w:rPr>
          <w:rStyle w:val="EndnoteReference"/>
          <w:rFonts w:ascii="Times New Roman" w:hAnsi="Times New Roman" w:cs="Times New Roman"/>
        </w:rPr>
        <w:endnoteReference w:id="24"/>
      </w:r>
      <w:r w:rsidR="00513C04" w:rsidRPr="008C694C">
        <w:rPr>
          <w:rFonts w:ascii="Times New Roman" w:hAnsi="Times New Roman" w:cs="Times New Roman"/>
        </w:rPr>
        <w:t xml:space="preserve"> </w:t>
      </w:r>
      <w:r w:rsidR="007E6643" w:rsidRPr="008C694C">
        <w:rPr>
          <w:rFonts w:ascii="Times New Roman" w:hAnsi="Times New Roman" w:cs="Times New Roman"/>
        </w:rPr>
        <w:t xml:space="preserve">In </w:t>
      </w:r>
      <w:r w:rsidR="007E6643" w:rsidRPr="008C694C">
        <w:rPr>
          <w:rFonts w:ascii="Times New Roman" w:hAnsi="Times New Roman" w:cs="Times New Roman"/>
          <w:i/>
        </w:rPr>
        <w:t>Barnes v. Yahoo</w:t>
      </w:r>
      <w:proofErr w:type="gramStart"/>
      <w:r w:rsidR="007E6643" w:rsidRPr="008C694C">
        <w:rPr>
          <w:rFonts w:ascii="Times New Roman" w:hAnsi="Times New Roman" w:cs="Times New Roman"/>
          <w:i/>
        </w:rPr>
        <w:t>!</w:t>
      </w:r>
      <w:r w:rsidR="007E6643" w:rsidRPr="008C694C">
        <w:rPr>
          <w:rFonts w:ascii="Times New Roman" w:hAnsi="Times New Roman" w:cs="Times New Roman"/>
        </w:rPr>
        <w:t>,</w:t>
      </w:r>
      <w:proofErr w:type="gramEnd"/>
      <w:r w:rsidR="007E6643" w:rsidRPr="008C694C">
        <w:rPr>
          <w:rFonts w:ascii="Times New Roman" w:hAnsi="Times New Roman" w:cs="Times New Roman"/>
        </w:rPr>
        <w:t xml:space="preserve"> a </w:t>
      </w:r>
      <w:r w:rsidR="009567E5" w:rsidRPr="008C694C">
        <w:rPr>
          <w:rFonts w:ascii="Times New Roman" w:hAnsi="Times New Roman" w:cs="Times New Roman"/>
        </w:rPr>
        <w:t xml:space="preserve">Ninth Circuit </w:t>
      </w:r>
      <w:r w:rsidR="002A7535" w:rsidRPr="008C694C">
        <w:rPr>
          <w:rFonts w:ascii="Times New Roman" w:hAnsi="Times New Roman" w:cs="Times New Roman"/>
        </w:rPr>
        <w:t xml:space="preserve">case, the </w:t>
      </w:r>
      <w:r w:rsidR="007E6643" w:rsidRPr="008C694C">
        <w:rPr>
          <w:rFonts w:ascii="Times New Roman" w:hAnsi="Times New Roman" w:cs="Times New Roman"/>
        </w:rPr>
        <w:t xml:space="preserve">plaintiff sued Yahoo! </w:t>
      </w:r>
      <w:proofErr w:type="gramStart"/>
      <w:r w:rsidR="007E6643" w:rsidRPr="008C694C">
        <w:rPr>
          <w:rFonts w:ascii="Times New Roman" w:hAnsi="Times New Roman" w:cs="Times New Roman"/>
        </w:rPr>
        <w:t>after</w:t>
      </w:r>
      <w:proofErr w:type="gramEnd"/>
      <w:r w:rsidR="007E6643" w:rsidRPr="008C694C">
        <w:rPr>
          <w:rFonts w:ascii="Times New Roman" w:hAnsi="Times New Roman" w:cs="Times New Roman"/>
        </w:rPr>
        <w:t xml:space="preserve"> she repeatedly requested that the website take down fake profiles of her </w:t>
      </w:r>
      <w:r w:rsidR="00BF4E7B" w:rsidRPr="008C694C">
        <w:rPr>
          <w:rFonts w:ascii="Times New Roman" w:hAnsi="Times New Roman" w:cs="Times New Roman"/>
        </w:rPr>
        <w:t xml:space="preserve">that her </w:t>
      </w:r>
      <w:r w:rsidR="007E6643" w:rsidRPr="008C694C">
        <w:rPr>
          <w:rFonts w:ascii="Times New Roman" w:hAnsi="Times New Roman" w:cs="Times New Roman"/>
        </w:rPr>
        <w:t>ex-boyfriend</w:t>
      </w:r>
      <w:r w:rsidR="00BF4E7B" w:rsidRPr="008C694C">
        <w:rPr>
          <w:rFonts w:ascii="Times New Roman" w:hAnsi="Times New Roman" w:cs="Times New Roman"/>
        </w:rPr>
        <w:t xml:space="preserve"> created to harass her</w:t>
      </w:r>
      <w:r w:rsidR="007E6643" w:rsidRPr="008C694C">
        <w:rPr>
          <w:rFonts w:ascii="Times New Roman" w:hAnsi="Times New Roman" w:cs="Times New Roman"/>
        </w:rPr>
        <w:t>.</w:t>
      </w:r>
      <w:r w:rsidR="00E637B6" w:rsidRPr="008C694C">
        <w:rPr>
          <w:rStyle w:val="EndnoteReference"/>
          <w:rFonts w:ascii="Times New Roman" w:hAnsi="Times New Roman" w:cs="Times New Roman"/>
        </w:rPr>
        <w:endnoteReference w:id="25"/>
      </w:r>
      <w:r w:rsidR="00BF4E7B" w:rsidRPr="008C694C">
        <w:rPr>
          <w:rFonts w:ascii="Times New Roman" w:hAnsi="Times New Roman" w:cs="Times New Roman"/>
        </w:rPr>
        <w:t xml:space="preserve"> One of Ms. Barnes’s theories of liability, promissory estoppel, sought to hold Yahoo! </w:t>
      </w:r>
      <w:proofErr w:type="gramStart"/>
      <w:r w:rsidR="00BF4E7B" w:rsidRPr="008C694C">
        <w:rPr>
          <w:rFonts w:ascii="Times New Roman" w:hAnsi="Times New Roman" w:cs="Times New Roman"/>
        </w:rPr>
        <w:t>accountable</w:t>
      </w:r>
      <w:proofErr w:type="gramEnd"/>
      <w:r w:rsidR="00BF4E7B" w:rsidRPr="008C694C">
        <w:rPr>
          <w:rFonts w:ascii="Times New Roman" w:hAnsi="Times New Roman" w:cs="Times New Roman"/>
        </w:rPr>
        <w:t xml:space="preserve"> because</w:t>
      </w:r>
      <w:r w:rsidR="009C7964" w:rsidRPr="008C694C">
        <w:rPr>
          <w:rFonts w:ascii="Times New Roman" w:hAnsi="Times New Roman" w:cs="Times New Roman"/>
        </w:rPr>
        <w:t xml:space="preserve"> its Director of Communications</w:t>
      </w:r>
      <w:r w:rsidR="00BF4E7B" w:rsidRPr="008C694C">
        <w:rPr>
          <w:rFonts w:ascii="Times New Roman" w:hAnsi="Times New Roman" w:cs="Times New Roman"/>
        </w:rPr>
        <w:t xml:space="preserve"> </w:t>
      </w:r>
      <w:r w:rsidR="009C7964" w:rsidRPr="008C694C">
        <w:rPr>
          <w:rFonts w:ascii="Times New Roman" w:hAnsi="Times New Roman" w:cs="Times New Roman"/>
        </w:rPr>
        <w:t>expressly told</w:t>
      </w:r>
      <w:r w:rsidR="00BF4E7B" w:rsidRPr="008C694C">
        <w:rPr>
          <w:rFonts w:ascii="Times New Roman" w:hAnsi="Times New Roman" w:cs="Times New Roman"/>
        </w:rPr>
        <w:t xml:space="preserve"> Ms. Barnes that Yahoo! </w:t>
      </w:r>
      <w:proofErr w:type="gramStart"/>
      <w:r w:rsidR="00BF4E7B" w:rsidRPr="008C694C">
        <w:rPr>
          <w:rFonts w:ascii="Times New Roman" w:hAnsi="Times New Roman" w:cs="Times New Roman"/>
        </w:rPr>
        <w:t>would</w:t>
      </w:r>
      <w:proofErr w:type="gramEnd"/>
      <w:r w:rsidR="00BF4E7B" w:rsidRPr="008C694C">
        <w:rPr>
          <w:rFonts w:ascii="Times New Roman" w:hAnsi="Times New Roman" w:cs="Times New Roman"/>
        </w:rPr>
        <w:t xml:space="preserve"> take the profiles down.</w:t>
      </w:r>
      <w:r w:rsidR="00E637B6" w:rsidRPr="008C694C">
        <w:rPr>
          <w:rStyle w:val="EndnoteReference"/>
          <w:rFonts w:ascii="Times New Roman" w:hAnsi="Times New Roman" w:cs="Times New Roman"/>
        </w:rPr>
        <w:endnoteReference w:id="26"/>
      </w:r>
      <w:r w:rsidR="009C7964" w:rsidRPr="008C694C">
        <w:rPr>
          <w:rFonts w:ascii="Times New Roman" w:hAnsi="Times New Roman" w:cs="Times New Roman"/>
        </w:rPr>
        <w:t xml:space="preserve"> Yahoo! </w:t>
      </w:r>
      <w:proofErr w:type="gramStart"/>
      <w:r w:rsidR="009C7964" w:rsidRPr="008C694C">
        <w:rPr>
          <w:rFonts w:ascii="Times New Roman" w:hAnsi="Times New Roman" w:cs="Times New Roman"/>
        </w:rPr>
        <w:t>argued</w:t>
      </w:r>
      <w:proofErr w:type="gramEnd"/>
      <w:r w:rsidR="009C7964" w:rsidRPr="008C694C">
        <w:rPr>
          <w:rFonts w:ascii="Times New Roman" w:hAnsi="Times New Roman" w:cs="Times New Roman"/>
        </w:rPr>
        <w:t xml:space="preserve"> that section 230 barred the promissory estoppel claim, but the court let it continue.</w:t>
      </w:r>
      <w:r w:rsidR="00E637B6" w:rsidRPr="008C694C">
        <w:rPr>
          <w:rStyle w:val="EndnoteReference"/>
          <w:rFonts w:ascii="Times New Roman" w:hAnsi="Times New Roman" w:cs="Times New Roman"/>
        </w:rPr>
        <w:endnoteReference w:id="27"/>
      </w:r>
      <w:r w:rsidR="009C7964" w:rsidRPr="008C694C">
        <w:rPr>
          <w:rFonts w:ascii="Times New Roman" w:hAnsi="Times New Roman" w:cs="Times New Roman"/>
        </w:rPr>
        <w:t xml:space="preserve"> </w:t>
      </w:r>
      <w:r w:rsidR="00FE44DE" w:rsidRPr="008C694C">
        <w:rPr>
          <w:rFonts w:ascii="Times New Roman" w:hAnsi="Times New Roman" w:cs="Times New Roman"/>
        </w:rPr>
        <w:t xml:space="preserve">Section 230 only precludes liability when the plaintiff’s theory of liability “derives from the defendant’s status or conduct as a publisher or speaker,” but Ms. Barnes’s lawsuit </w:t>
      </w:r>
      <w:r w:rsidR="00636047" w:rsidRPr="008C694C">
        <w:rPr>
          <w:rFonts w:ascii="Times New Roman" w:hAnsi="Times New Roman" w:cs="Times New Roman"/>
        </w:rPr>
        <w:t xml:space="preserve">did not seek </w:t>
      </w:r>
      <w:r w:rsidR="00FE44DE" w:rsidRPr="008C694C">
        <w:rPr>
          <w:rFonts w:ascii="Times New Roman" w:hAnsi="Times New Roman" w:cs="Times New Roman"/>
        </w:rPr>
        <w:t xml:space="preserve">to hold Yahoo! </w:t>
      </w:r>
      <w:proofErr w:type="gramStart"/>
      <w:r w:rsidR="00FE44DE" w:rsidRPr="008C694C">
        <w:rPr>
          <w:rFonts w:ascii="Times New Roman" w:hAnsi="Times New Roman" w:cs="Times New Roman"/>
        </w:rPr>
        <w:t>accountable</w:t>
      </w:r>
      <w:proofErr w:type="gramEnd"/>
      <w:r w:rsidR="00FE44DE" w:rsidRPr="008C694C">
        <w:rPr>
          <w:rFonts w:ascii="Times New Roman" w:hAnsi="Times New Roman" w:cs="Times New Roman"/>
        </w:rPr>
        <w:t xml:space="preserve"> because of</w:t>
      </w:r>
      <w:r w:rsidR="00636047" w:rsidRPr="008C694C">
        <w:rPr>
          <w:rFonts w:ascii="Times New Roman" w:hAnsi="Times New Roman" w:cs="Times New Roman"/>
        </w:rPr>
        <w:t xml:space="preserve"> its publishing conduct </w:t>
      </w:r>
      <w:r w:rsidR="00636047" w:rsidRPr="008C694C">
        <w:rPr>
          <w:rFonts w:ascii="Times New Roman" w:hAnsi="Times New Roman" w:cs="Times New Roman"/>
          <w:i/>
        </w:rPr>
        <w:t>itself</w:t>
      </w:r>
      <w:r w:rsidR="00636047" w:rsidRPr="008C694C">
        <w:rPr>
          <w:rFonts w:ascii="Times New Roman" w:hAnsi="Times New Roman" w:cs="Times New Roman"/>
        </w:rPr>
        <w:t>.</w:t>
      </w:r>
      <w:r w:rsidR="00E637B6" w:rsidRPr="008C694C">
        <w:rPr>
          <w:rStyle w:val="EndnoteReference"/>
          <w:rFonts w:ascii="Times New Roman" w:hAnsi="Times New Roman" w:cs="Times New Roman"/>
        </w:rPr>
        <w:endnoteReference w:id="28"/>
      </w:r>
      <w:r w:rsidR="00636047" w:rsidRPr="008C694C">
        <w:rPr>
          <w:rFonts w:ascii="Times New Roman" w:hAnsi="Times New Roman" w:cs="Times New Roman"/>
        </w:rPr>
        <w:t xml:space="preserve"> Instead, her lawsuit treated Yahoo! </w:t>
      </w:r>
      <w:proofErr w:type="gramStart"/>
      <w:r w:rsidR="00636047" w:rsidRPr="008C694C">
        <w:rPr>
          <w:rFonts w:ascii="Times New Roman" w:hAnsi="Times New Roman" w:cs="Times New Roman"/>
        </w:rPr>
        <w:t>as</w:t>
      </w:r>
      <w:proofErr w:type="gramEnd"/>
      <w:r w:rsidR="00636047" w:rsidRPr="008C694C">
        <w:rPr>
          <w:rFonts w:ascii="Times New Roman" w:hAnsi="Times New Roman" w:cs="Times New Roman"/>
        </w:rPr>
        <w:t xml:space="preserve"> a party to a contract – a promisor who had breached its </w:t>
      </w:r>
      <w:r w:rsidR="00636047" w:rsidRPr="008C694C">
        <w:rPr>
          <w:rFonts w:ascii="Times New Roman" w:hAnsi="Times New Roman" w:cs="Times New Roman"/>
          <w:i/>
        </w:rPr>
        <w:t>promise to do something</w:t>
      </w:r>
      <w:r w:rsidR="00C53BAA" w:rsidRPr="008C694C">
        <w:rPr>
          <w:rFonts w:ascii="Times New Roman" w:hAnsi="Times New Roman" w:cs="Times New Roman"/>
          <w:i/>
        </w:rPr>
        <w:t xml:space="preserve">, </w:t>
      </w:r>
      <w:r w:rsidR="00E637B6" w:rsidRPr="008C694C">
        <w:rPr>
          <w:rFonts w:ascii="Times New Roman" w:hAnsi="Times New Roman" w:cs="Times New Roman"/>
        </w:rPr>
        <w:t>take down the profiles.</w:t>
      </w:r>
      <w:r w:rsidR="00E637B6" w:rsidRPr="008C694C">
        <w:rPr>
          <w:rStyle w:val="EndnoteReference"/>
          <w:rFonts w:ascii="Times New Roman" w:hAnsi="Times New Roman" w:cs="Times New Roman"/>
        </w:rPr>
        <w:endnoteReference w:id="29"/>
      </w:r>
      <w:r w:rsidR="00E637B6" w:rsidRPr="008C694C">
        <w:rPr>
          <w:rFonts w:ascii="Times New Roman" w:hAnsi="Times New Roman" w:cs="Times New Roman"/>
        </w:rPr>
        <w:t xml:space="preserve"> </w:t>
      </w:r>
    </w:p>
    <w:p w14:paraId="13D30A59" w14:textId="307428DF" w:rsidR="000B72D6" w:rsidRPr="008C694C" w:rsidRDefault="009567E5" w:rsidP="00D562AA">
      <w:pPr>
        <w:spacing w:line="480" w:lineRule="auto"/>
        <w:ind w:firstLine="720"/>
        <w:rPr>
          <w:rFonts w:ascii="Times New Roman" w:hAnsi="Times New Roman" w:cs="Times New Roman"/>
        </w:rPr>
      </w:pPr>
      <w:r w:rsidRPr="008C694C">
        <w:rPr>
          <w:rFonts w:ascii="Times New Roman" w:hAnsi="Times New Roman" w:cs="Times New Roman"/>
        </w:rPr>
        <w:t xml:space="preserve">Courts have continued to </w:t>
      </w:r>
      <w:r w:rsidR="00C53BAA" w:rsidRPr="008C694C">
        <w:rPr>
          <w:rFonts w:ascii="Times New Roman" w:hAnsi="Times New Roman" w:cs="Times New Roman"/>
        </w:rPr>
        <w:t xml:space="preserve">interpret section 230 in this manner, permitting websites to rely on immunity only when the plaintiff’s cause of action treats the website as </w:t>
      </w:r>
      <w:r w:rsidR="00583205" w:rsidRPr="008C694C">
        <w:rPr>
          <w:rFonts w:ascii="Times New Roman" w:hAnsi="Times New Roman" w:cs="Times New Roman"/>
        </w:rPr>
        <w:t>a publisher or speaker</w:t>
      </w:r>
      <w:r w:rsidR="002226F8" w:rsidRPr="008C694C">
        <w:rPr>
          <w:rFonts w:ascii="Times New Roman" w:hAnsi="Times New Roman" w:cs="Times New Roman"/>
        </w:rPr>
        <w:t>.</w:t>
      </w:r>
      <w:r w:rsidR="0094254E" w:rsidRPr="008C694C">
        <w:rPr>
          <w:rStyle w:val="EndnoteReference"/>
          <w:rFonts w:ascii="Times New Roman" w:hAnsi="Times New Roman" w:cs="Times New Roman"/>
        </w:rPr>
        <w:endnoteReference w:id="30"/>
      </w:r>
      <w:r w:rsidR="00583205" w:rsidRPr="008C694C">
        <w:rPr>
          <w:rFonts w:ascii="Times New Roman" w:hAnsi="Times New Roman" w:cs="Times New Roman"/>
        </w:rPr>
        <w:t xml:space="preserve"> Additionally, courts have also begun to recognize that websites can both be a</w:t>
      </w:r>
      <w:r w:rsidR="0096660C" w:rsidRPr="008C694C">
        <w:rPr>
          <w:rFonts w:ascii="Times New Roman" w:hAnsi="Times New Roman" w:cs="Times New Roman"/>
        </w:rPr>
        <w:t xml:space="preserve">n “interactive computer service,” someone who </w:t>
      </w:r>
      <w:r w:rsidR="00353794" w:rsidRPr="008C694C">
        <w:rPr>
          <w:rFonts w:ascii="Times New Roman" w:hAnsi="Times New Roman" w:cs="Times New Roman"/>
        </w:rPr>
        <w:t xml:space="preserve">hosts </w:t>
      </w:r>
      <w:r w:rsidR="0096660C" w:rsidRPr="008C694C">
        <w:rPr>
          <w:rFonts w:ascii="Times New Roman" w:hAnsi="Times New Roman" w:cs="Times New Roman"/>
        </w:rPr>
        <w:t>content created by other web users,</w:t>
      </w:r>
      <w:r w:rsidR="00583205" w:rsidRPr="008C694C">
        <w:rPr>
          <w:rFonts w:ascii="Times New Roman" w:hAnsi="Times New Roman" w:cs="Times New Roman"/>
        </w:rPr>
        <w:t xml:space="preserve"> </w:t>
      </w:r>
      <w:r w:rsidR="00583205" w:rsidRPr="008C694C">
        <w:rPr>
          <w:rFonts w:ascii="Times New Roman" w:hAnsi="Times New Roman" w:cs="Times New Roman"/>
          <w:i/>
        </w:rPr>
        <w:t>and</w:t>
      </w:r>
      <w:r w:rsidR="00583205" w:rsidRPr="008C694C">
        <w:rPr>
          <w:rFonts w:ascii="Times New Roman" w:hAnsi="Times New Roman" w:cs="Times New Roman"/>
        </w:rPr>
        <w:t xml:space="preserve"> an “information content provider,” </w:t>
      </w:r>
      <w:r w:rsidR="00F83572" w:rsidRPr="008C694C">
        <w:rPr>
          <w:rFonts w:ascii="Times New Roman" w:hAnsi="Times New Roman" w:cs="Times New Roman"/>
        </w:rPr>
        <w:t xml:space="preserve">someone who is “responsible, in whole or in part,” for </w:t>
      </w:r>
      <w:r w:rsidR="00B21668" w:rsidRPr="008C694C">
        <w:rPr>
          <w:rFonts w:ascii="Times New Roman" w:hAnsi="Times New Roman" w:cs="Times New Roman"/>
        </w:rPr>
        <w:t>“</w:t>
      </w:r>
      <w:r w:rsidR="00F83572" w:rsidRPr="008C694C">
        <w:rPr>
          <w:rFonts w:ascii="Times New Roman" w:hAnsi="Times New Roman" w:cs="Times New Roman"/>
        </w:rPr>
        <w:t>creating or developing</w:t>
      </w:r>
      <w:r w:rsidR="00B21668" w:rsidRPr="008C694C">
        <w:rPr>
          <w:rFonts w:ascii="Times New Roman" w:hAnsi="Times New Roman" w:cs="Times New Roman"/>
        </w:rPr>
        <w:t>”</w:t>
      </w:r>
      <w:r w:rsidR="00F83572" w:rsidRPr="008C694C">
        <w:rPr>
          <w:rFonts w:ascii="Times New Roman" w:hAnsi="Times New Roman" w:cs="Times New Roman"/>
        </w:rPr>
        <w:t xml:space="preserve"> </w:t>
      </w:r>
      <w:r w:rsidR="00353794" w:rsidRPr="008C694C">
        <w:rPr>
          <w:rFonts w:ascii="Times New Roman" w:hAnsi="Times New Roman" w:cs="Times New Roman"/>
        </w:rPr>
        <w:t>website</w:t>
      </w:r>
      <w:r w:rsidR="00B21668" w:rsidRPr="008C694C">
        <w:rPr>
          <w:rFonts w:ascii="Times New Roman" w:hAnsi="Times New Roman" w:cs="Times New Roman"/>
        </w:rPr>
        <w:t xml:space="preserve"> content.</w:t>
      </w:r>
      <w:r w:rsidR="0094254E" w:rsidRPr="008C694C">
        <w:rPr>
          <w:rStyle w:val="EndnoteReference"/>
          <w:rFonts w:ascii="Times New Roman" w:hAnsi="Times New Roman" w:cs="Times New Roman"/>
        </w:rPr>
        <w:endnoteReference w:id="31"/>
      </w:r>
      <w:r w:rsidR="00B21668" w:rsidRPr="008C694C">
        <w:rPr>
          <w:rFonts w:ascii="Times New Roman" w:hAnsi="Times New Roman" w:cs="Times New Roman"/>
        </w:rPr>
        <w:t xml:space="preserve"> </w:t>
      </w:r>
      <w:r w:rsidR="002A7535" w:rsidRPr="008C694C">
        <w:rPr>
          <w:rFonts w:ascii="Times New Roman" w:hAnsi="Times New Roman" w:cs="Times New Roman"/>
        </w:rPr>
        <w:t xml:space="preserve">Critically, Section 230 does </w:t>
      </w:r>
      <w:r w:rsidR="002A7535" w:rsidRPr="008C694C">
        <w:rPr>
          <w:rFonts w:ascii="Times New Roman" w:hAnsi="Times New Roman" w:cs="Times New Roman"/>
          <w:i/>
        </w:rPr>
        <w:t>not</w:t>
      </w:r>
      <w:r w:rsidR="002A7535" w:rsidRPr="008C694C">
        <w:rPr>
          <w:rFonts w:ascii="Times New Roman" w:hAnsi="Times New Roman" w:cs="Times New Roman"/>
        </w:rPr>
        <w:t xml:space="preserve"> apply when a website i</w:t>
      </w:r>
      <w:r w:rsidR="00E601AD" w:rsidRPr="008C694C">
        <w:rPr>
          <w:rFonts w:ascii="Times New Roman" w:hAnsi="Times New Roman" w:cs="Times New Roman"/>
        </w:rPr>
        <w:t>s</w:t>
      </w:r>
      <w:r w:rsidR="002A7535" w:rsidRPr="008C694C">
        <w:rPr>
          <w:rFonts w:ascii="Times New Roman" w:hAnsi="Times New Roman" w:cs="Times New Roman"/>
        </w:rPr>
        <w:t xml:space="preserve"> an “information content provider.”</w:t>
      </w:r>
      <w:r w:rsidR="0094254E" w:rsidRPr="008C694C">
        <w:rPr>
          <w:rStyle w:val="EndnoteReference"/>
          <w:rFonts w:ascii="Times New Roman" w:hAnsi="Times New Roman" w:cs="Times New Roman"/>
        </w:rPr>
        <w:endnoteReference w:id="32"/>
      </w:r>
      <w:r w:rsidR="002A7535" w:rsidRPr="008C694C">
        <w:rPr>
          <w:rFonts w:ascii="Times New Roman" w:hAnsi="Times New Roman" w:cs="Times New Roman"/>
        </w:rPr>
        <w:t xml:space="preserve"> In other words, if the website </w:t>
      </w:r>
      <w:r w:rsidR="004B3EEA" w:rsidRPr="008C694C">
        <w:rPr>
          <w:rFonts w:ascii="Times New Roman" w:hAnsi="Times New Roman" w:cs="Times New Roman"/>
        </w:rPr>
        <w:t>“passively displays content that is created entirely by third parties,” it will be entitled to immunity</w:t>
      </w:r>
      <w:r w:rsidR="00350829" w:rsidRPr="008C694C">
        <w:rPr>
          <w:rFonts w:ascii="Times New Roman" w:hAnsi="Times New Roman" w:cs="Times New Roman"/>
        </w:rPr>
        <w:t xml:space="preserve"> for that content</w:t>
      </w:r>
      <w:r w:rsidR="004B3EEA" w:rsidRPr="008C694C">
        <w:rPr>
          <w:rFonts w:ascii="Times New Roman" w:hAnsi="Times New Roman" w:cs="Times New Roman"/>
        </w:rPr>
        <w:t>.</w:t>
      </w:r>
      <w:r w:rsidR="0094254E" w:rsidRPr="008C694C">
        <w:rPr>
          <w:rStyle w:val="EndnoteReference"/>
          <w:rFonts w:ascii="Times New Roman" w:hAnsi="Times New Roman" w:cs="Times New Roman"/>
        </w:rPr>
        <w:endnoteReference w:id="33"/>
      </w:r>
      <w:r w:rsidR="004B3EEA" w:rsidRPr="008C694C">
        <w:rPr>
          <w:rFonts w:ascii="Times New Roman" w:hAnsi="Times New Roman" w:cs="Times New Roman"/>
        </w:rPr>
        <w:t xml:space="preserve"> But if it </w:t>
      </w:r>
      <w:r w:rsidR="00350829" w:rsidRPr="008C694C">
        <w:rPr>
          <w:rFonts w:ascii="Times New Roman" w:hAnsi="Times New Roman" w:cs="Times New Roman"/>
        </w:rPr>
        <w:t xml:space="preserve">has a role in developing content or creates content itself, it is not entitled to immunity </w:t>
      </w:r>
      <w:r w:rsidR="00424CC5" w:rsidRPr="008C694C">
        <w:rPr>
          <w:rFonts w:ascii="Times New Roman" w:hAnsi="Times New Roman" w:cs="Times New Roman"/>
        </w:rPr>
        <w:t>for that content.</w:t>
      </w:r>
      <w:r w:rsidR="0094254E" w:rsidRPr="008C694C">
        <w:rPr>
          <w:rStyle w:val="EndnoteReference"/>
          <w:rFonts w:ascii="Times New Roman" w:hAnsi="Times New Roman" w:cs="Times New Roman"/>
        </w:rPr>
        <w:endnoteReference w:id="34"/>
      </w:r>
      <w:r w:rsidR="00424CC5" w:rsidRPr="008C694C">
        <w:rPr>
          <w:rFonts w:ascii="Times New Roman" w:hAnsi="Times New Roman" w:cs="Times New Roman"/>
        </w:rPr>
        <w:t xml:space="preserve"> </w:t>
      </w:r>
    </w:p>
    <w:p w14:paraId="25D9B239" w14:textId="5F15C6F9" w:rsidR="00216AC2" w:rsidRPr="008C694C" w:rsidRDefault="00424CC5" w:rsidP="00B95CA6">
      <w:pPr>
        <w:spacing w:line="480" w:lineRule="auto"/>
        <w:ind w:firstLine="720"/>
        <w:rPr>
          <w:rFonts w:ascii="Times New Roman" w:hAnsi="Times New Roman" w:cs="Times New Roman"/>
        </w:rPr>
      </w:pPr>
      <w:r w:rsidRPr="008C694C">
        <w:rPr>
          <w:rFonts w:ascii="Times New Roman" w:hAnsi="Times New Roman" w:cs="Times New Roman"/>
        </w:rPr>
        <w:t xml:space="preserve">In </w:t>
      </w:r>
      <w:r w:rsidRPr="008C694C">
        <w:rPr>
          <w:rFonts w:ascii="Times New Roman" w:hAnsi="Times New Roman" w:cs="Times New Roman"/>
          <w:i/>
        </w:rPr>
        <w:t>Fair Housing Council v. Roommates.com</w:t>
      </w:r>
      <w:r w:rsidRPr="008C694C">
        <w:rPr>
          <w:rFonts w:ascii="Times New Roman" w:hAnsi="Times New Roman" w:cs="Times New Roman"/>
        </w:rPr>
        <w:t xml:space="preserve">, another Ninth Circuit case, </w:t>
      </w:r>
      <w:r w:rsidR="000B72D6" w:rsidRPr="008C694C">
        <w:rPr>
          <w:rFonts w:ascii="Times New Roman" w:hAnsi="Times New Roman" w:cs="Times New Roman"/>
        </w:rPr>
        <w:t>the plaintiff sued Roommates.com for violations of the Fair Housing Act, which prohibits discrimination in housing choices.</w:t>
      </w:r>
      <w:r w:rsidR="00655DA6" w:rsidRPr="008C694C">
        <w:rPr>
          <w:rStyle w:val="EndnoteReference"/>
          <w:rFonts w:ascii="Times New Roman" w:hAnsi="Times New Roman" w:cs="Times New Roman"/>
        </w:rPr>
        <w:endnoteReference w:id="35"/>
      </w:r>
      <w:r w:rsidR="000B72D6" w:rsidRPr="008C694C">
        <w:rPr>
          <w:rFonts w:ascii="Times New Roman" w:hAnsi="Times New Roman" w:cs="Times New Roman"/>
        </w:rPr>
        <w:t xml:space="preserve"> Roommates</w:t>
      </w:r>
      <w:r w:rsidR="00770C5E" w:rsidRPr="008C694C">
        <w:rPr>
          <w:rFonts w:ascii="Times New Roman" w:hAnsi="Times New Roman" w:cs="Times New Roman"/>
        </w:rPr>
        <w:t>.com</w:t>
      </w:r>
      <w:r w:rsidR="000B72D6" w:rsidRPr="008C694C">
        <w:rPr>
          <w:rFonts w:ascii="Times New Roman" w:hAnsi="Times New Roman" w:cs="Times New Roman"/>
        </w:rPr>
        <w:t xml:space="preserve"> allowed renters looking for roommates to create profiles and search for roommates based on </w:t>
      </w:r>
      <w:r w:rsidR="00770C5E" w:rsidRPr="008C694C">
        <w:rPr>
          <w:rFonts w:ascii="Times New Roman" w:hAnsi="Times New Roman" w:cs="Times New Roman"/>
        </w:rPr>
        <w:t xml:space="preserve">those </w:t>
      </w:r>
      <w:r w:rsidR="000B72D6" w:rsidRPr="008C694C">
        <w:rPr>
          <w:rFonts w:ascii="Times New Roman" w:hAnsi="Times New Roman" w:cs="Times New Roman"/>
        </w:rPr>
        <w:t>profiles.</w:t>
      </w:r>
      <w:r w:rsidR="0061297C" w:rsidRPr="008C694C">
        <w:rPr>
          <w:rStyle w:val="EndnoteReference"/>
          <w:rFonts w:ascii="Times New Roman" w:hAnsi="Times New Roman" w:cs="Times New Roman"/>
        </w:rPr>
        <w:endnoteReference w:id="36"/>
      </w:r>
      <w:r w:rsidR="000B72D6" w:rsidRPr="008C694C">
        <w:rPr>
          <w:rFonts w:ascii="Times New Roman" w:hAnsi="Times New Roman" w:cs="Times New Roman"/>
        </w:rPr>
        <w:t xml:space="preserve"> In order to create a profile and use the site, the website required users to input their sex, sexual orientation, and whether they had children.</w:t>
      </w:r>
      <w:r w:rsidR="0061297C" w:rsidRPr="008C694C">
        <w:rPr>
          <w:rStyle w:val="EndnoteReference"/>
          <w:rFonts w:ascii="Times New Roman" w:hAnsi="Times New Roman" w:cs="Times New Roman"/>
        </w:rPr>
        <w:endnoteReference w:id="37"/>
      </w:r>
      <w:r w:rsidR="000B72D6" w:rsidRPr="008C694C">
        <w:rPr>
          <w:rFonts w:ascii="Times New Roman" w:hAnsi="Times New Roman" w:cs="Times New Roman"/>
        </w:rPr>
        <w:t xml:space="preserve"> The website then curated a list of potential roommates for a user based on his or her inputs.</w:t>
      </w:r>
      <w:r w:rsidR="0061297C" w:rsidRPr="008C694C">
        <w:rPr>
          <w:rStyle w:val="EndnoteReference"/>
          <w:rFonts w:ascii="Times New Roman" w:hAnsi="Times New Roman" w:cs="Times New Roman"/>
        </w:rPr>
        <w:endnoteReference w:id="38"/>
      </w:r>
      <w:r w:rsidR="000B72D6" w:rsidRPr="008C694C">
        <w:rPr>
          <w:rFonts w:ascii="Times New Roman" w:hAnsi="Times New Roman" w:cs="Times New Roman"/>
        </w:rPr>
        <w:t xml:space="preserve"> </w:t>
      </w:r>
      <w:r w:rsidR="00DC6C59" w:rsidRPr="008C694C">
        <w:rPr>
          <w:rFonts w:ascii="Times New Roman" w:hAnsi="Times New Roman" w:cs="Times New Roman"/>
        </w:rPr>
        <w:t>Roommate</w:t>
      </w:r>
      <w:r w:rsidR="00770C5E" w:rsidRPr="008C694C">
        <w:rPr>
          <w:rFonts w:ascii="Times New Roman" w:hAnsi="Times New Roman" w:cs="Times New Roman"/>
        </w:rPr>
        <w:t>s.com</w:t>
      </w:r>
      <w:r w:rsidR="00BB6D4F" w:rsidRPr="008C694C">
        <w:rPr>
          <w:rFonts w:ascii="Times New Roman" w:hAnsi="Times New Roman" w:cs="Times New Roman"/>
        </w:rPr>
        <w:t xml:space="preserve"> argued the Fair Housing Council’s lawsuit was barred by section 230, but the court disagreed, finding that the way Roommate</w:t>
      </w:r>
      <w:r w:rsidR="00770C5E" w:rsidRPr="008C694C">
        <w:rPr>
          <w:rFonts w:ascii="Times New Roman" w:hAnsi="Times New Roman" w:cs="Times New Roman"/>
        </w:rPr>
        <w:t>s.com</w:t>
      </w:r>
      <w:r w:rsidR="00BB6D4F" w:rsidRPr="008C694C">
        <w:rPr>
          <w:rFonts w:ascii="Times New Roman" w:hAnsi="Times New Roman" w:cs="Times New Roman"/>
        </w:rPr>
        <w:t xml:space="preserve"> designed its website and interacted with the information provided by its users transformed it from a “passive transmitter of information” to “the developer, at least in part, of that information.”</w:t>
      </w:r>
      <w:r w:rsidR="0061297C" w:rsidRPr="008C694C">
        <w:rPr>
          <w:rStyle w:val="EndnoteReference"/>
          <w:rFonts w:ascii="Times New Roman" w:hAnsi="Times New Roman" w:cs="Times New Roman"/>
        </w:rPr>
        <w:endnoteReference w:id="39"/>
      </w:r>
      <w:r w:rsidR="00BB6D4F" w:rsidRPr="008C694C">
        <w:rPr>
          <w:rFonts w:ascii="Times New Roman" w:hAnsi="Times New Roman" w:cs="Times New Roman"/>
        </w:rPr>
        <w:t xml:space="preserve"> </w:t>
      </w:r>
      <w:r w:rsidR="00655DA6" w:rsidRPr="008C694C">
        <w:rPr>
          <w:rFonts w:ascii="Times New Roman" w:hAnsi="Times New Roman" w:cs="Times New Roman"/>
        </w:rPr>
        <w:t>According to the Ninth Circuit, the CDA simply does not grant immunity when a website “induces” and “elicits” third parties to create allegedly illegal content, and “makes aggressive use of it in conducting its business.”</w:t>
      </w:r>
      <w:r w:rsidR="0061297C" w:rsidRPr="008C694C">
        <w:rPr>
          <w:rStyle w:val="EndnoteReference"/>
          <w:rFonts w:ascii="Times New Roman" w:hAnsi="Times New Roman" w:cs="Times New Roman"/>
        </w:rPr>
        <w:endnoteReference w:id="40"/>
      </w:r>
      <w:r w:rsidR="00655DA6" w:rsidRPr="008C694C">
        <w:rPr>
          <w:rFonts w:ascii="Times New Roman" w:hAnsi="Times New Roman" w:cs="Times New Roman"/>
        </w:rPr>
        <w:t xml:space="preserve"> Where it is evident that a website “does not merely provide a framework” that could be used illegally but “directly participates in developing the alleged illegality” then “immunity will be lost.”</w:t>
      </w:r>
      <w:r w:rsidR="0061297C" w:rsidRPr="008C694C">
        <w:rPr>
          <w:rStyle w:val="EndnoteReference"/>
          <w:rFonts w:ascii="Times New Roman" w:hAnsi="Times New Roman" w:cs="Times New Roman"/>
        </w:rPr>
        <w:endnoteReference w:id="41"/>
      </w:r>
    </w:p>
    <w:p w14:paraId="6D4ED443" w14:textId="638D9A94" w:rsidR="008C06FB" w:rsidRPr="008C694C" w:rsidRDefault="006E3C64" w:rsidP="006E3C64">
      <w:pPr>
        <w:pStyle w:val="ListParagraph"/>
        <w:numPr>
          <w:ilvl w:val="0"/>
          <w:numId w:val="2"/>
        </w:numPr>
        <w:rPr>
          <w:rFonts w:ascii="Times New Roman" w:hAnsi="Times New Roman" w:cs="Times New Roman"/>
          <w:b/>
          <w:u w:val="single"/>
        </w:rPr>
      </w:pPr>
      <w:r w:rsidRPr="008C694C">
        <w:rPr>
          <w:rFonts w:ascii="Times New Roman" w:hAnsi="Times New Roman" w:cs="Times New Roman"/>
          <w:b/>
          <w:u w:val="single"/>
        </w:rPr>
        <w:t xml:space="preserve">The CDA and </w:t>
      </w:r>
      <w:r w:rsidR="00780F27" w:rsidRPr="008C694C">
        <w:rPr>
          <w:rFonts w:ascii="Times New Roman" w:hAnsi="Times New Roman" w:cs="Times New Roman"/>
          <w:b/>
          <w:u w:val="single"/>
        </w:rPr>
        <w:t xml:space="preserve">Suits Against </w:t>
      </w:r>
      <w:proofErr w:type="spellStart"/>
      <w:r w:rsidR="00780F27" w:rsidRPr="008C694C">
        <w:rPr>
          <w:rFonts w:ascii="Times New Roman" w:hAnsi="Times New Roman" w:cs="Times New Roman"/>
          <w:b/>
          <w:u w:val="single"/>
        </w:rPr>
        <w:t>Backpage</w:t>
      </w:r>
      <w:proofErr w:type="spellEnd"/>
    </w:p>
    <w:p w14:paraId="72DF114B" w14:textId="77777777" w:rsidR="00923484" w:rsidRPr="008C694C" w:rsidRDefault="00923484" w:rsidP="004B6FF3">
      <w:pPr>
        <w:jc w:val="center"/>
        <w:rPr>
          <w:rFonts w:ascii="Times New Roman" w:hAnsi="Times New Roman" w:cs="Times New Roman"/>
          <w:b/>
          <w:u w:val="single"/>
        </w:rPr>
      </w:pPr>
    </w:p>
    <w:p w14:paraId="4DCF8DF5" w14:textId="65C816C7" w:rsidR="00B95CA6" w:rsidRPr="008C694C" w:rsidRDefault="00A112F8" w:rsidP="00B95CA6">
      <w:pPr>
        <w:spacing w:line="480" w:lineRule="auto"/>
        <w:ind w:firstLine="720"/>
        <w:rPr>
          <w:rFonts w:ascii="Times New Roman" w:hAnsi="Times New Roman" w:cs="Times New Roman"/>
        </w:rPr>
      </w:pPr>
      <w:proofErr w:type="spellStart"/>
      <w:r w:rsidRPr="008C694C">
        <w:rPr>
          <w:rFonts w:ascii="Times New Roman" w:hAnsi="Times New Roman" w:cs="Times New Roman"/>
        </w:rPr>
        <w:t>Backpage</w:t>
      </w:r>
      <w:proofErr w:type="spellEnd"/>
      <w:r w:rsidRPr="008C694C">
        <w:rPr>
          <w:rFonts w:ascii="Times New Roman" w:hAnsi="Times New Roman" w:cs="Times New Roman"/>
        </w:rPr>
        <w:t xml:space="preserve"> is indisputably an “interactive computer service” – its purpose is to host content</w:t>
      </w:r>
      <w:r w:rsidR="00770C5E" w:rsidRPr="008C694C">
        <w:rPr>
          <w:rFonts w:ascii="Times New Roman" w:hAnsi="Times New Roman" w:cs="Times New Roman"/>
        </w:rPr>
        <w:t xml:space="preserve"> –</w:t>
      </w:r>
      <w:r w:rsidR="00E43441" w:rsidRPr="008C694C">
        <w:rPr>
          <w:rFonts w:ascii="Times New Roman" w:hAnsi="Times New Roman" w:cs="Times New Roman"/>
        </w:rPr>
        <w:t xml:space="preserve"> </w:t>
      </w:r>
      <w:r w:rsidRPr="008C694C">
        <w:rPr>
          <w:rFonts w:ascii="Times New Roman" w:hAnsi="Times New Roman" w:cs="Times New Roman"/>
        </w:rPr>
        <w:t>advertisements</w:t>
      </w:r>
      <w:r w:rsidR="00770C5E" w:rsidRPr="008C694C">
        <w:rPr>
          <w:rFonts w:ascii="Times New Roman" w:hAnsi="Times New Roman" w:cs="Times New Roman"/>
        </w:rPr>
        <w:t xml:space="preserve"> -</w:t>
      </w:r>
      <w:r w:rsidR="00E43441" w:rsidRPr="008C694C">
        <w:rPr>
          <w:rFonts w:ascii="Times New Roman" w:hAnsi="Times New Roman" w:cs="Times New Roman"/>
        </w:rPr>
        <w:t xml:space="preserve"> </w:t>
      </w:r>
      <w:r w:rsidR="006375AD" w:rsidRPr="008C694C">
        <w:rPr>
          <w:rFonts w:ascii="Times New Roman" w:hAnsi="Times New Roman" w:cs="Times New Roman"/>
        </w:rPr>
        <w:t>that its users create</w:t>
      </w:r>
      <w:r w:rsidRPr="008C694C">
        <w:rPr>
          <w:rFonts w:ascii="Times New Roman" w:hAnsi="Times New Roman" w:cs="Times New Roman"/>
        </w:rPr>
        <w:t xml:space="preserve">. </w:t>
      </w:r>
      <w:r w:rsidR="004F18B6" w:rsidRPr="008C694C">
        <w:rPr>
          <w:rFonts w:ascii="Times New Roman" w:hAnsi="Times New Roman" w:cs="Times New Roman"/>
        </w:rPr>
        <w:t xml:space="preserve">But </w:t>
      </w:r>
      <w:r w:rsidR="003C66C1" w:rsidRPr="008C694C">
        <w:rPr>
          <w:rFonts w:ascii="Times New Roman" w:hAnsi="Times New Roman" w:cs="Times New Roman"/>
        </w:rPr>
        <w:t xml:space="preserve">critically, </w:t>
      </w:r>
      <w:r w:rsidR="004F18B6" w:rsidRPr="008C694C">
        <w:rPr>
          <w:rFonts w:ascii="Times New Roman" w:hAnsi="Times New Roman" w:cs="Times New Roman"/>
        </w:rPr>
        <w:t>it is also an “information content provider” when it comes to its “adult services” section – it develops</w:t>
      </w:r>
      <w:r w:rsidR="0061297C" w:rsidRPr="008C694C">
        <w:rPr>
          <w:rFonts w:ascii="Times New Roman" w:hAnsi="Times New Roman" w:cs="Times New Roman"/>
        </w:rPr>
        <w:t xml:space="preserve">, induces, and elicits ads for prostitution and child sex trafficking </w:t>
      </w:r>
      <w:r w:rsidR="00314BBE" w:rsidRPr="008C694C">
        <w:rPr>
          <w:rFonts w:ascii="Times New Roman" w:hAnsi="Times New Roman" w:cs="Times New Roman"/>
        </w:rPr>
        <w:t>as part of its lucrative business</w:t>
      </w:r>
      <w:r w:rsidR="004F18B6" w:rsidRPr="008C694C">
        <w:rPr>
          <w:rFonts w:ascii="Times New Roman" w:hAnsi="Times New Roman" w:cs="Times New Roman"/>
        </w:rPr>
        <w:t xml:space="preserve">. </w:t>
      </w:r>
      <w:r w:rsidR="00E24B0B" w:rsidRPr="008C694C">
        <w:rPr>
          <w:rFonts w:ascii="Times New Roman" w:hAnsi="Times New Roman" w:cs="Times New Roman"/>
        </w:rPr>
        <w:t xml:space="preserve">In two recent cases against </w:t>
      </w:r>
      <w:proofErr w:type="spellStart"/>
      <w:r w:rsidR="00E24B0B" w:rsidRPr="008C694C">
        <w:rPr>
          <w:rFonts w:ascii="Times New Roman" w:hAnsi="Times New Roman" w:cs="Times New Roman"/>
        </w:rPr>
        <w:t>Backpage</w:t>
      </w:r>
      <w:proofErr w:type="spellEnd"/>
      <w:r w:rsidR="00E24B0B" w:rsidRPr="008C694C">
        <w:rPr>
          <w:rFonts w:ascii="Times New Roman" w:hAnsi="Times New Roman" w:cs="Times New Roman"/>
        </w:rPr>
        <w:t xml:space="preserve">, plaintiffs, who were all children when their pimps advertised them on </w:t>
      </w:r>
      <w:proofErr w:type="spellStart"/>
      <w:r w:rsidR="00E24B0B" w:rsidRPr="008C694C">
        <w:rPr>
          <w:rFonts w:ascii="Times New Roman" w:hAnsi="Times New Roman" w:cs="Times New Roman"/>
        </w:rPr>
        <w:t>Backpage</w:t>
      </w:r>
      <w:proofErr w:type="spellEnd"/>
      <w:r w:rsidR="00E24B0B" w:rsidRPr="008C694C">
        <w:rPr>
          <w:rFonts w:ascii="Times New Roman" w:hAnsi="Times New Roman" w:cs="Times New Roman"/>
        </w:rPr>
        <w:t xml:space="preserve">, </w:t>
      </w:r>
      <w:r w:rsidR="0061297C" w:rsidRPr="008C694C">
        <w:rPr>
          <w:rFonts w:ascii="Times New Roman" w:hAnsi="Times New Roman" w:cs="Times New Roman"/>
        </w:rPr>
        <w:t xml:space="preserve">alleged well-pleaded allegations that </w:t>
      </w:r>
      <w:proofErr w:type="spellStart"/>
      <w:r w:rsidR="0061297C" w:rsidRPr="008C694C">
        <w:rPr>
          <w:rFonts w:ascii="Times New Roman" w:hAnsi="Times New Roman" w:cs="Times New Roman"/>
        </w:rPr>
        <w:t>Backpage</w:t>
      </w:r>
      <w:proofErr w:type="spellEnd"/>
      <w:r w:rsidR="0061297C" w:rsidRPr="008C694C">
        <w:rPr>
          <w:rFonts w:ascii="Times New Roman" w:hAnsi="Times New Roman" w:cs="Times New Roman"/>
        </w:rPr>
        <w:t xml:space="preserve"> develops illegal advertisements itself.</w:t>
      </w:r>
      <w:r w:rsidR="0004148E" w:rsidRPr="008C694C">
        <w:rPr>
          <w:rStyle w:val="EndnoteReference"/>
          <w:rFonts w:ascii="Times New Roman" w:hAnsi="Times New Roman" w:cs="Times New Roman"/>
        </w:rPr>
        <w:endnoteReference w:id="42"/>
      </w:r>
      <w:r w:rsidR="0061297C" w:rsidRPr="008C694C">
        <w:rPr>
          <w:rFonts w:ascii="Times New Roman" w:hAnsi="Times New Roman" w:cs="Times New Roman"/>
        </w:rPr>
        <w:t xml:space="preserve"> </w:t>
      </w:r>
      <w:r w:rsidR="0063038F" w:rsidRPr="008C694C">
        <w:rPr>
          <w:rFonts w:ascii="Times New Roman" w:hAnsi="Times New Roman" w:cs="Times New Roman"/>
        </w:rPr>
        <w:t xml:space="preserve">In a suit in Washington state court, plaintiffs alleged that </w:t>
      </w:r>
      <w:proofErr w:type="spellStart"/>
      <w:r w:rsidR="008B7F45" w:rsidRPr="008C694C">
        <w:rPr>
          <w:rFonts w:ascii="Times New Roman" w:hAnsi="Times New Roman" w:cs="Times New Roman"/>
        </w:rPr>
        <w:t>Backpage</w:t>
      </w:r>
      <w:proofErr w:type="spellEnd"/>
      <w:r w:rsidR="008B7F45" w:rsidRPr="008C694C">
        <w:rPr>
          <w:rFonts w:ascii="Times New Roman" w:hAnsi="Times New Roman" w:cs="Times New Roman"/>
        </w:rPr>
        <w:t xml:space="preserve"> has a “substantial role in creating the content and context of advertisements on its website” by </w:t>
      </w:r>
      <w:r w:rsidR="0004148E" w:rsidRPr="008C694C">
        <w:rPr>
          <w:rFonts w:ascii="Times New Roman" w:hAnsi="Times New Roman" w:cs="Times New Roman"/>
        </w:rPr>
        <w:t>designing its posting rules to induce sex trafficking.</w:t>
      </w:r>
      <w:r w:rsidR="004D0BE0" w:rsidRPr="008C694C">
        <w:rPr>
          <w:rStyle w:val="EndnoteReference"/>
          <w:rFonts w:ascii="Times New Roman" w:hAnsi="Times New Roman" w:cs="Times New Roman"/>
        </w:rPr>
        <w:endnoteReference w:id="43"/>
      </w:r>
      <w:r w:rsidR="0004148E" w:rsidRPr="008C694C">
        <w:rPr>
          <w:rFonts w:ascii="Times New Roman" w:hAnsi="Times New Roman" w:cs="Times New Roman"/>
        </w:rPr>
        <w:t xml:space="preserve"> While </w:t>
      </w:r>
      <w:proofErr w:type="spellStart"/>
      <w:r w:rsidR="0004148E" w:rsidRPr="008C694C">
        <w:rPr>
          <w:rFonts w:ascii="Times New Roman" w:hAnsi="Times New Roman" w:cs="Times New Roman"/>
        </w:rPr>
        <w:t>Backpage</w:t>
      </w:r>
      <w:proofErr w:type="spellEnd"/>
      <w:r w:rsidR="0004148E" w:rsidRPr="008C694C">
        <w:rPr>
          <w:rFonts w:ascii="Times New Roman" w:hAnsi="Times New Roman" w:cs="Times New Roman"/>
        </w:rPr>
        <w:t xml:space="preserve"> purports to </w:t>
      </w:r>
      <w:r w:rsidR="00977950" w:rsidRPr="008C694C">
        <w:rPr>
          <w:rFonts w:ascii="Times New Roman" w:hAnsi="Times New Roman" w:cs="Times New Roman"/>
        </w:rPr>
        <w:t xml:space="preserve">prohibit </w:t>
      </w:r>
      <w:r w:rsidR="0097446C" w:rsidRPr="008C694C">
        <w:rPr>
          <w:rFonts w:ascii="Times New Roman" w:hAnsi="Times New Roman" w:cs="Times New Roman"/>
        </w:rPr>
        <w:t>ads</w:t>
      </w:r>
      <w:r w:rsidR="00977950" w:rsidRPr="008C694C">
        <w:rPr>
          <w:rFonts w:ascii="Times New Roman" w:hAnsi="Times New Roman" w:cs="Times New Roman"/>
        </w:rPr>
        <w:t xml:space="preserve"> that “allow solicitation directly or in coded fas</w:t>
      </w:r>
      <w:r w:rsidR="0097446C" w:rsidRPr="008C694C">
        <w:rPr>
          <w:rFonts w:ascii="Times New Roman" w:hAnsi="Times New Roman" w:cs="Times New Roman"/>
        </w:rPr>
        <w:t>h</w:t>
      </w:r>
      <w:r w:rsidR="00977950" w:rsidRPr="008C694C">
        <w:rPr>
          <w:rFonts w:ascii="Times New Roman" w:hAnsi="Times New Roman" w:cs="Times New Roman"/>
        </w:rPr>
        <w:t xml:space="preserve">ion” </w:t>
      </w:r>
      <w:r w:rsidR="0097446C" w:rsidRPr="008C694C">
        <w:rPr>
          <w:rFonts w:ascii="Times New Roman" w:hAnsi="Times New Roman" w:cs="Times New Roman"/>
        </w:rPr>
        <w:t>or posts that “exploit minors in any way</w:t>
      </w:r>
      <w:r w:rsidR="0004148E" w:rsidRPr="008C694C">
        <w:rPr>
          <w:rFonts w:ascii="Times New Roman" w:hAnsi="Times New Roman" w:cs="Times New Roman"/>
        </w:rPr>
        <w:t>,</w:t>
      </w:r>
      <w:r w:rsidR="0097446C" w:rsidRPr="008C694C">
        <w:rPr>
          <w:rFonts w:ascii="Times New Roman" w:hAnsi="Times New Roman" w:cs="Times New Roman"/>
        </w:rPr>
        <w:t>”</w:t>
      </w:r>
      <w:r w:rsidR="0004148E" w:rsidRPr="008C694C">
        <w:rPr>
          <w:rFonts w:ascii="Times New Roman" w:hAnsi="Times New Roman" w:cs="Times New Roman"/>
        </w:rPr>
        <w:t xml:space="preserve"> those rules are actually aimed at “helping pimps [craft ads that] evade law enforcement” and </w:t>
      </w:r>
      <w:proofErr w:type="spellStart"/>
      <w:r w:rsidR="0004148E" w:rsidRPr="008C694C">
        <w:rPr>
          <w:rFonts w:ascii="Times New Roman" w:hAnsi="Times New Roman" w:cs="Times New Roman"/>
        </w:rPr>
        <w:t>Backpage</w:t>
      </w:r>
      <w:proofErr w:type="spellEnd"/>
      <w:r w:rsidR="0004148E" w:rsidRPr="008C694C">
        <w:rPr>
          <w:rFonts w:ascii="Times New Roman" w:hAnsi="Times New Roman" w:cs="Times New Roman"/>
        </w:rPr>
        <w:t xml:space="preserve"> actually develops its website to “allow and encourage illegal trade to occur.”</w:t>
      </w:r>
      <w:r w:rsidR="004D0BE0" w:rsidRPr="008C694C">
        <w:rPr>
          <w:rStyle w:val="EndnoteReference"/>
          <w:rFonts w:ascii="Times New Roman" w:hAnsi="Times New Roman" w:cs="Times New Roman"/>
        </w:rPr>
        <w:endnoteReference w:id="44"/>
      </w:r>
      <w:r w:rsidR="0004148E" w:rsidRPr="008C694C">
        <w:rPr>
          <w:rFonts w:ascii="Times New Roman" w:hAnsi="Times New Roman" w:cs="Times New Roman"/>
        </w:rPr>
        <w:t xml:space="preserve"> </w:t>
      </w:r>
    </w:p>
    <w:p w14:paraId="78D87F28" w14:textId="481EB585" w:rsidR="00AD33D4" w:rsidRPr="008C694C" w:rsidRDefault="007A3421" w:rsidP="00B95CA6">
      <w:pPr>
        <w:spacing w:line="480" w:lineRule="auto"/>
        <w:ind w:firstLine="720"/>
        <w:rPr>
          <w:rFonts w:ascii="Times New Roman" w:hAnsi="Times New Roman" w:cs="Times New Roman"/>
        </w:rPr>
      </w:pPr>
      <w:r w:rsidRPr="008C694C">
        <w:rPr>
          <w:rFonts w:ascii="Times New Roman" w:hAnsi="Times New Roman" w:cs="Times New Roman"/>
        </w:rPr>
        <w:t xml:space="preserve">In a suit in </w:t>
      </w:r>
      <w:r w:rsidR="00194742" w:rsidRPr="008C694C">
        <w:rPr>
          <w:rFonts w:ascii="Times New Roman" w:hAnsi="Times New Roman" w:cs="Times New Roman"/>
        </w:rPr>
        <w:t>F</w:t>
      </w:r>
      <w:r w:rsidRPr="008C694C">
        <w:rPr>
          <w:rFonts w:ascii="Times New Roman" w:hAnsi="Times New Roman" w:cs="Times New Roman"/>
        </w:rPr>
        <w:t xml:space="preserve">ederal court in the District of Massachusetts, plaintiffs elaborated on </w:t>
      </w:r>
      <w:r w:rsidR="00C06780" w:rsidRPr="008C694C">
        <w:rPr>
          <w:rFonts w:ascii="Times New Roman" w:hAnsi="Times New Roman" w:cs="Times New Roman"/>
        </w:rPr>
        <w:t xml:space="preserve">more specific conduct </w:t>
      </w:r>
      <w:proofErr w:type="spellStart"/>
      <w:r w:rsidR="00C06780" w:rsidRPr="008C694C">
        <w:rPr>
          <w:rFonts w:ascii="Times New Roman" w:hAnsi="Times New Roman" w:cs="Times New Roman"/>
        </w:rPr>
        <w:t>Backpage</w:t>
      </w:r>
      <w:proofErr w:type="spellEnd"/>
      <w:r w:rsidR="00C06780" w:rsidRPr="008C694C">
        <w:rPr>
          <w:rFonts w:ascii="Times New Roman" w:hAnsi="Times New Roman" w:cs="Times New Roman"/>
        </w:rPr>
        <w:t xml:space="preserve"> undertakes to induce trafficking on its website.</w:t>
      </w:r>
      <w:r w:rsidR="00B905E1" w:rsidRPr="008C694C">
        <w:rPr>
          <w:rFonts w:ascii="Times New Roman" w:hAnsi="Times New Roman" w:cs="Times New Roman"/>
        </w:rPr>
        <w:t xml:space="preserve"> </w:t>
      </w:r>
      <w:proofErr w:type="spellStart"/>
      <w:r w:rsidR="00B905E1" w:rsidRPr="008C694C">
        <w:rPr>
          <w:rFonts w:ascii="Times New Roman" w:hAnsi="Times New Roman" w:cs="Times New Roman"/>
        </w:rPr>
        <w:t>Backpage</w:t>
      </w:r>
      <w:proofErr w:type="spellEnd"/>
      <w:r w:rsidR="00B905E1" w:rsidRPr="008C694C">
        <w:rPr>
          <w:rFonts w:ascii="Times New Roman" w:hAnsi="Times New Roman" w:cs="Times New Roman"/>
        </w:rPr>
        <w:t xml:space="preserve"> encourages anonymity by not requiring a phone number in order to post an escort ad and by permitting the use of anonymous forms of payment.</w:t>
      </w:r>
      <w:r w:rsidR="00B905E1" w:rsidRPr="008C694C">
        <w:rPr>
          <w:rStyle w:val="EndnoteReference"/>
          <w:rFonts w:ascii="Times New Roman" w:hAnsi="Times New Roman" w:cs="Times New Roman"/>
        </w:rPr>
        <w:endnoteReference w:id="45"/>
      </w:r>
      <w:r w:rsidR="00B905E1" w:rsidRPr="008C694C">
        <w:rPr>
          <w:rFonts w:ascii="Times New Roman" w:hAnsi="Times New Roman" w:cs="Times New Roman"/>
        </w:rPr>
        <w:t xml:space="preserve"> </w:t>
      </w:r>
      <w:r w:rsidR="009257C9" w:rsidRPr="008C694C">
        <w:rPr>
          <w:rFonts w:ascii="Times New Roman" w:hAnsi="Times New Roman" w:cs="Times New Roman"/>
        </w:rPr>
        <w:t xml:space="preserve">In fact, </w:t>
      </w:r>
      <w:proofErr w:type="spellStart"/>
      <w:r w:rsidR="009257C9" w:rsidRPr="008C694C">
        <w:rPr>
          <w:rFonts w:ascii="Times New Roman" w:hAnsi="Times New Roman" w:cs="Times New Roman"/>
        </w:rPr>
        <w:t>Backpage</w:t>
      </w:r>
      <w:proofErr w:type="spellEnd"/>
      <w:r w:rsidR="009257C9" w:rsidRPr="008C694C">
        <w:rPr>
          <w:rFonts w:ascii="Times New Roman" w:hAnsi="Times New Roman" w:cs="Times New Roman"/>
        </w:rPr>
        <w:t xml:space="preserve"> provides a 10% discount to anyone who pays using </w:t>
      </w:r>
      <w:proofErr w:type="spellStart"/>
      <w:r w:rsidR="009257C9" w:rsidRPr="008C694C">
        <w:rPr>
          <w:rFonts w:ascii="Times New Roman" w:hAnsi="Times New Roman" w:cs="Times New Roman"/>
        </w:rPr>
        <w:t>Bitcoin</w:t>
      </w:r>
      <w:proofErr w:type="spellEnd"/>
      <w:r w:rsidR="009257C9" w:rsidRPr="008C694C">
        <w:rPr>
          <w:rFonts w:ascii="Times New Roman" w:hAnsi="Times New Roman" w:cs="Times New Roman"/>
        </w:rPr>
        <w:t>, incentivizi</w:t>
      </w:r>
      <w:r w:rsidR="00B854BB" w:rsidRPr="008C694C">
        <w:rPr>
          <w:rFonts w:ascii="Times New Roman" w:hAnsi="Times New Roman" w:cs="Times New Roman"/>
        </w:rPr>
        <w:t>n</w:t>
      </w:r>
      <w:r w:rsidR="009257C9" w:rsidRPr="008C694C">
        <w:rPr>
          <w:rFonts w:ascii="Times New Roman" w:hAnsi="Times New Roman" w:cs="Times New Roman"/>
        </w:rPr>
        <w:t>g anonymity.</w:t>
      </w:r>
      <w:r w:rsidR="00B854BB" w:rsidRPr="008C694C">
        <w:rPr>
          <w:rStyle w:val="EndnoteReference"/>
          <w:rFonts w:ascii="Times New Roman" w:hAnsi="Times New Roman" w:cs="Times New Roman"/>
        </w:rPr>
        <w:endnoteReference w:id="46"/>
      </w:r>
      <w:r w:rsidR="009257C9" w:rsidRPr="008C694C">
        <w:rPr>
          <w:rFonts w:ascii="Times New Roman" w:hAnsi="Times New Roman" w:cs="Times New Roman"/>
        </w:rPr>
        <w:t xml:space="preserve"> </w:t>
      </w:r>
      <w:r w:rsidR="001973DB" w:rsidRPr="008C694C">
        <w:rPr>
          <w:rFonts w:ascii="Times New Roman" w:hAnsi="Times New Roman" w:cs="Times New Roman"/>
        </w:rPr>
        <w:t>And i</w:t>
      </w:r>
      <w:r w:rsidR="00B905E1" w:rsidRPr="008C694C">
        <w:rPr>
          <w:rFonts w:ascii="Times New Roman" w:hAnsi="Times New Roman" w:cs="Times New Roman"/>
        </w:rPr>
        <w:t xml:space="preserve">nterestingly, </w:t>
      </w:r>
      <w:proofErr w:type="spellStart"/>
      <w:r w:rsidR="00B905E1" w:rsidRPr="008C694C">
        <w:rPr>
          <w:rFonts w:ascii="Times New Roman" w:hAnsi="Times New Roman" w:cs="Times New Roman"/>
        </w:rPr>
        <w:t>Backpage</w:t>
      </w:r>
      <w:proofErr w:type="spellEnd"/>
      <w:r w:rsidR="00B905E1" w:rsidRPr="008C694C">
        <w:rPr>
          <w:rFonts w:ascii="Times New Roman" w:hAnsi="Times New Roman" w:cs="Times New Roman"/>
        </w:rPr>
        <w:t xml:space="preserve"> </w:t>
      </w:r>
      <w:r w:rsidR="00B905E1" w:rsidRPr="008C694C">
        <w:rPr>
          <w:rFonts w:ascii="Times New Roman" w:hAnsi="Times New Roman" w:cs="Times New Roman"/>
          <w:i/>
        </w:rPr>
        <w:t>does</w:t>
      </w:r>
      <w:r w:rsidR="00B905E1" w:rsidRPr="008C694C">
        <w:rPr>
          <w:rFonts w:ascii="Times New Roman" w:hAnsi="Times New Roman" w:cs="Times New Roman"/>
        </w:rPr>
        <w:t xml:space="preserve"> require a phone number for ads for pets, boats, and motorcycles “in order to prevent scams.”</w:t>
      </w:r>
      <w:r w:rsidR="00B905E1" w:rsidRPr="008C694C">
        <w:rPr>
          <w:rStyle w:val="EndnoteReference"/>
          <w:rFonts w:ascii="Times New Roman" w:hAnsi="Times New Roman" w:cs="Times New Roman"/>
        </w:rPr>
        <w:endnoteReference w:id="47"/>
      </w:r>
      <w:r w:rsidR="00B905E1" w:rsidRPr="008C694C">
        <w:rPr>
          <w:rFonts w:ascii="Times New Roman" w:hAnsi="Times New Roman" w:cs="Times New Roman"/>
        </w:rPr>
        <w:t xml:space="preserve"> </w:t>
      </w:r>
      <w:r w:rsidR="00AE4A9B" w:rsidRPr="008C694C">
        <w:rPr>
          <w:rFonts w:ascii="Times New Roman" w:hAnsi="Times New Roman" w:cs="Times New Roman"/>
        </w:rPr>
        <w:t>But</w:t>
      </w:r>
      <w:r w:rsidR="00B905E1" w:rsidRPr="008C694C">
        <w:rPr>
          <w:rFonts w:ascii="Times New Roman" w:hAnsi="Times New Roman" w:cs="Times New Roman"/>
        </w:rPr>
        <w:t xml:space="preserve"> for escort ads, </w:t>
      </w:r>
      <w:r w:rsidR="00AE4A9B" w:rsidRPr="008C694C">
        <w:rPr>
          <w:rFonts w:ascii="Times New Roman" w:hAnsi="Times New Roman" w:cs="Times New Roman"/>
        </w:rPr>
        <w:t xml:space="preserve">no phone number is required, so </w:t>
      </w:r>
      <w:r w:rsidR="00B905E1" w:rsidRPr="008C694C">
        <w:rPr>
          <w:rFonts w:ascii="Times New Roman" w:hAnsi="Times New Roman" w:cs="Times New Roman"/>
        </w:rPr>
        <w:t xml:space="preserve">pimps place the phone number in the text of the ad itself. By allowing this, </w:t>
      </w:r>
      <w:proofErr w:type="spellStart"/>
      <w:r w:rsidR="00B905E1" w:rsidRPr="008C694C">
        <w:rPr>
          <w:rFonts w:ascii="Times New Roman" w:hAnsi="Times New Roman" w:cs="Times New Roman"/>
        </w:rPr>
        <w:t>Backpage</w:t>
      </w:r>
      <w:proofErr w:type="spellEnd"/>
      <w:r w:rsidR="00B905E1" w:rsidRPr="008C694C">
        <w:rPr>
          <w:rFonts w:ascii="Times New Roman" w:hAnsi="Times New Roman" w:cs="Times New Roman"/>
        </w:rPr>
        <w:t xml:space="preserve"> permits pimps to evade law enforcement searches for phone numbers by writing a phone number like this: “two-zero-1, three-four-5, six-seven-8-9” instead of like this: 201-345-6789.</w:t>
      </w:r>
      <w:r w:rsidR="00D147C8" w:rsidRPr="008C694C">
        <w:rPr>
          <w:rStyle w:val="EndnoteReference"/>
          <w:rFonts w:ascii="Times New Roman" w:hAnsi="Times New Roman" w:cs="Times New Roman"/>
        </w:rPr>
        <w:endnoteReference w:id="48"/>
      </w:r>
      <w:r w:rsidR="00B905E1" w:rsidRPr="008C694C">
        <w:rPr>
          <w:rFonts w:ascii="Times New Roman" w:hAnsi="Times New Roman" w:cs="Times New Roman"/>
        </w:rPr>
        <w:t xml:space="preserve"> </w:t>
      </w:r>
      <w:proofErr w:type="spellStart"/>
      <w:r w:rsidR="00003EA1" w:rsidRPr="008C694C">
        <w:rPr>
          <w:rFonts w:ascii="Times New Roman" w:hAnsi="Times New Roman" w:cs="Times New Roman"/>
        </w:rPr>
        <w:t>Backpage</w:t>
      </w:r>
      <w:proofErr w:type="spellEnd"/>
      <w:r w:rsidR="00003EA1" w:rsidRPr="008C694C">
        <w:rPr>
          <w:rFonts w:ascii="Times New Roman" w:hAnsi="Times New Roman" w:cs="Times New Roman"/>
        </w:rPr>
        <w:t xml:space="preserve"> automatically filters for </w:t>
      </w:r>
      <w:r w:rsidR="002C66EC" w:rsidRPr="008C694C">
        <w:rPr>
          <w:rFonts w:ascii="Times New Roman" w:hAnsi="Times New Roman" w:cs="Times New Roman"/>
        </w:rPr>
        <w:t>certain words like “barely legal” and “high school” but permits known code words for underage like “girl,” “young,” and “fresh</w:t>
      </w:r>
      <w:r w:rsidR="00003EA1" w:rsidRPr="008C694C">
        <w:rPr>
          <w:rFonts w:ascii="Times New Roman" w:hAnsi="Times New Roman" w:cs="Times New Roman"/>
        </w:rPr>
        <w:t>.</w:t>
      </w:r>
      <w:r w:rsidR="002C66EC" w:rsidRPr="008C694C">
        <w:rPr>
          <w:rFonts w:ascii="Times New Roman" w:hAnsi="Times New Roman" w:cs="Times New Roman"/>
        </w:rPr>
        <w:t>”</w:t>
      </w:r>
      <w:r w:rsidR="002C66EC" w:rsidRPr="008C694C">
        <w:rPr>
          <w:rStyle w:val="EndnoteReference"/>
          <w:rFonts w:ascii="Times New Roman" w:hAnsi="Times New Roman" w:cs="Times New Roman"/>
        </w:rPr>
        <w:endnoteReference w:id="49"/>
      </w:r>
      <w:r w:rsidR="00003EA1" w:rsidRPr="008C694C">
        <w:rPr>
          <w:rFonts w:ascii="Times New Roman" w:hAnsi="Times New Roman" w:cs="Times New Roman"/>
        </w:rPr>
        <w:t xml:space="preserve"> </w:t>
      </w:r>
      <w:proofErr w:type="spellStart"/>
      <w:r w:rsidR="00B905E1" w:rsidRPr="008C694C">
        <w:rPr>
          <w:rFonts w:ascii="Times New Roman" w:hAnsi="Times New Roman" w:cs="Times New Roman"/>
        </w:rPr>
        <w:t>Backpage</w:t>
      </w:r>
      <w:proofErr w:type="spellEnd"/>
      <w:r w:rsidR="00B905E1" w:rsidRPr="008C694C">
        <w:rPr>
          <w:rFonts w:ascii="Times New Roman" w:hAnsi="Times New Roman" w:cs="Times New Roman"/>
        </w:rPr>
        <w:t xml:space="preserve"> also does not have an age or identity verification process for escort ads.</w:t>
      </w:r>
      <w:r w:rsidR="00B905E1" w:rsidRPr="008C694C">
        <w:rPr>
          <w:rStyle w:val="EndnoteReference"/>
          <w:rFonts w:ascii="Times New Roman" w:hAnsi="Times New Roman" w:cs="Times New Roman"/>
        </w:rPr>
        <w:endnoteReference w:id="50"/>
      </w:r>
      <w:r w:rsidR="00B905E1" w:rsidRPr="008C694C">
        <w:rPr>
          <w:rFonts w:ascii="Times New Roman" w:hAnsi="Times New Roman" w:cs="Times New Roman"/>
        </w:rPr>
        <w:t xml:space="preserve"> And, it strips metadata associated with photographs before publishing the photographs on its website, preventing law enforcement from effectively searching for </w:t>
      </w:r>
      <w:proofErr w:type="spellStart"/>
      <w:r w:rsidR="00B905E1" w:rsidRPr="008C694C">
        <w:rPr>
          <w:rFonts w:ascii="Times New Roman" w:hAnsi="Times New Roman" w:cs="Times New Roman"/>
        </w:rPr>
        <w:t>repostings</w:t>
      </w:r>
      <w:proofErr w:type="spellEnd"/>
      <w:r w:rsidR="00B905E1" w:rsidRPr="008C694C">
        <w:rPr>
          <w:rFonts w:ascii="Times New Roman" w:hAnsi="Times New Roman" w:cs="Times New Roman"/>
        </w:rPr>
        <w:t xml:space="preserve"> of the same photograph.</w:t>
      </w:r>
      <w:r w:rsidR="00C93076" w:rsidRPr="008C694C">
        <w:rPr>
          <w:rStyle w:val="EndnoteReference"/>
          <w:rFonts w:ascii="Times New Roman" w:hAnsi="Times New Roman" w:cs="Times New Roman"/>
        </w:rPr>
        <w:endnoteReference w:id="51"/>
      </w:r>
    </w:p>
    <w:p w14:paraId="31BBFBE9" w14:textId="77777777" w:rsidR="00194742" w:rsidRPr="008C694C" w:rsidRDefault="00AD33D4" w:rsidP="006E3C64">
      <w:pPr>
        <w:spacing w:line="480" w:lineRule="auto"/>
        <w:ind w:firstLine="720"/>
        <w:rPr>
          <w:rFonts w:ascii="Times New Roman" w:hAnsi="Times New Roman" w:cs="Times New Roman"/>
        </w:rPr>
      </w:pPr>
      <w:r w:rsidRPr="008C694C">
        <w:rPr>
          <w:rFonts w:ascii="Times New Roman" w:hAnsi="Times New Roman" w:cs="Times New Roman"/>
        </w:rPr>
        <w:t>Fortunately, t</w:t>
      </w:r>
      <w:r w:rsidR="002226F8" w:rsidRPr="008C694C">
        <w:rPr>
          <w:rFonts w:ascii="Times New Roman" w:hAnsi="Times New Roman" w:cs="Times New Roman"/>
        </w:rPr>
        <w:t xml:space="preserve">he </w:t>
      </w:r>
      <w:r w:rsidR="00780F27" w:rsidRPr="008C694C">
        <w:rPr>
          <w:rFonts w:ascii="Times New Roman" w:hAnsi="Times New Roman" w:cs="Times New Roman"/>
        </w:rPr>
        <w:t>Washington State Supreme Court</w:t>
      </w:r>
      <w:r w:rsidRPr="008C694C">
        <w:rPr>
          <w:rFonts w:ascii="Times New Roman" w:hAnsi="Times New Roman" w:cs="Times New Roman"/>
        </w:rPr>
        <w:t xml:space="preserve"> held in the plaintiffs favor, </w:t>
      </w:r>
      <w:r w:rsidR="00A54753" w:rsidRPr="008C694C">
        <w:rPr>
          <w:rFonts w:ascii="Times New Roman" w:hAnsi="Times New Roman" w:cs="Times New Roman"/>
        </w:rPr>
        <w:t xml:space="preserve">finding that section 230 did not bar their suit because they had sufficiently pled allegations that </w:t>
      </w:r>
      <w:proofErr w:type="spellStart"/>
      <w:r w:rsidR="00A54753" w:rsidRPr="008C694C">
        <w:rPr>
          <w:rFonts w:ascii="Times New Roman" w:hAnsi="Times New Roman" w:cs="Times New Roman"/>
        </w:rPr>
        <w:t>Backpage</w:t>
      </w:r>
      <w:proofErr w:type="spellEnd"/>
      <w:r w:rsidR="00A54753" w:rsidRPr="008C694C">
        <w:rPr>
          <w:rFonts w:ascii="Times New Roman" w:hAnsi="Times New Roman" w:cs="Times New Roman"/>
        </w:rPr>
        <w:t xml:space="preserve"> “helped to develop unlawful content” and “contributed materially to the alleged illegality of the conduct” of its users</w:t>
      </w:r>
      <w:r w:rsidR="00780F27" w:rsidRPr="008C694C">
        <w:rPr>
          <w:rFonts w:ascii="Times New Roman" w:hAnsi="Times New Roman" w:cs="Times New Roman"/>
        </w:rPr>
        <w:t>.</w:t>
      </w:r>
      <w:r w:rsidR="00E163A5" w:rsidRPr="008C694C">
        <w:rPr>
          <w:rStyle w:val="EndnoteReference"/>
          <w:rFonts w:ascii="Times New Roman" w:hAnsi="Times New Roman" w:cs="Times New Roman"/>
        </w:rPr>
        <w:endnoteReference w:id="52"/>
      </w:r>
      <w:r w:rsidR="00460D44" w:rsidRPr="008C694C">
        <w:rPr>
          <w:rFonts w:ascii="Times New Roman" w:hAnsi="Times New Roman" w:cs="Times New Roman"/>
        </w:rPr>
        <w:t xml:space="preserve"> </w:t>
      </w:r>
      <w:r w:rsidR="002226F8" w:rsidRPr="008C694C">
        <w:rPr>
          <w:rFonts w:ascii="Times New Roman" w:hAnsi="Times New Roman" w:cs="Times New Roman"/>
        </w:rPr>
        <w:t>Unfortunately, the District of Mass</w:t>
      </w:r>
      <w:r w:rsidR="001B2B6A" w:rsidRPr="008C694C">
        <w:rPr>
          <w:rFonts w:ascii="Times New Roman" w:hAnsi="Times New Roman" w:cs="Times New Roman"/>
        </w:rPr>
        <w:t>a</w:t>
      </w:r>
      <w:r w:rsidR="002226F8" w:rsidRPr="008C694C">
        <w:rPr>
          <w:rFonts w:ascii="Times New Roman" w:hAnsi="Times New Roman" w:cs="Times New Roman"/>
        </w:rPr>
        <w:t>chusetts</w:t>
      </w:r>
      <w:r w:rsidRPr="008C694C">
        <w:rPr>
          <w:rFonts w:ascii="Times New Roman" w:hAnsi="Times New Roman" w:cs="Times New Roman"/>
        </w:rPr>
        <w:t xml:space="preserve"> held that section 230</w:t>
      </w:r>
      <w:r w:rsidR="00FC7C90" w:rsidRPr="008C694C">
        <w:rPr>
          <w:rFonts w:ascii="Times New Roman" w:hAnsi="Times New Roman" w:cs="Times New Roman"/>
        </w:rPr>
        <w:t xml:space="preserve"> did bar the plaintiffs’ suit, because </w:t>
      </w:r>
      <w:proofErr w:type="spellStart"/>
      <w:r w:rsidR="00FC7C90" w:rsidRPr="008C694C">
        <w:rPr>
          <w:rFonts w:ascii="Times New Roman" w:hAnsi="Times New Roman" w:cs="Times New Roman"/>
        </w:rPr>
        <w:t>Backpage’s</w:t>
      </w:r>
      <w:proofErr w:type="spellEnd"/>
      <w:r w:rsidR="00FC7C90" w:rsidRPr="008C694C">
        <w:rPr>
          <w:rFonts w:ascii="Times New Roman" w:hAnsi="Times New Roman" w:cs="Times New Roman"/>
        </w:rPr>
        <w:t xml:space="preserve"> “allegedly sordid practices” neither amounted to “affirmative participation in an illegal venture nor active web content creation</w:t>
      </w:r>
      <w:r w:rsidR="002226F8" w:rsidRPr="008C694C">
        <w:rPr>
          <w:rFonts w:ascii="Times New Roman" w:hAnsi="Times New Roman" w:cs="Times New Roman"/>
        </w:rPr>
        <w:t>.</w:t>
      </w:r>
      <w:r w:rsidR="00FC7C90" w:rsidRPr="008C694C">
        <w:rPr>
          <w:rFonts w:ascii="Times New Roman" w:hAnsi="Times New Roman" w:cs="Times New Roman"/>
        </w:rPr>
        <w:t>”</w:t>
      </w:r>
      <w:r w:rsidR="00F9724F" w:rsidRPr="008C694C">
        <w:rPr>
          <w:rStyle w:val="EndnoteReference"/>
          <w:rFonts w:ascii="Times New Roman" w:hAnsi="Times New Roman" w:cs="Times New Roman"/>
        </w:rPr>
        <w:endnoteReference w:id="53"/>
      </w:r>
      <w:r w:rsidRPr="008C694C">
        <w:rPr>
          <w:rFonts w:ascii="Times New Roman" w:hAnsi="Times New Roman" w:cs="Times New Roman"/>
        </w:rPr>
        <w:t xml:space="preserve"> The suit is currently pending before the First Circuit</w:t>
      </w:r>
      <w:r w:rsidR="002B2BA9" w:rsidRPr="008C694C">
        <w:rPr>
          <w:rFonts w:ascii="Times New Roman" w:hAnsi="Times New Roman" w:cs="Times New Roman"/>
        </w:rPr>
        <w:t>.</w:t>
      </w:r>
      <w:r w:rsidR="008D366D" w:rsidRPr="008C694C">
        <w:rPr>
          <w:rStyle w:val="EndnoteReference"/>
          <w:rFonts w:ascii="Times New Roman" w:hAnsi="Times New Roman" w:cs="Times New Roman"/>
        </w:rPr>
        <w:endnoteReference w:id="54"/>
      </w:r>
      <w:r w:rsidR="002B2BA9" w:rsidRPr="008C694C">
        <w:rPr>
          <w:rFonts w:ascii="Times New Roman" w:hAnsi="Times New Roman" w:cs="Times New Roman"/>
        </w:rPr>
        <w:t xml:space="preserve"> </w:t>
      </w:r>
    </w:p>
    <w:p w14:paraId="2D4E0493" w14:textId="5D26985D" w:rsidR="002226F8" w:rsidRPr="008C694C" w:rsidRDefault="00BB2D36" w:rsidP="006E3C64">
      <w:pPr>
        <w:spacing w:line="480" w:lineRule="auto"/>
        <w:ind w:firstLine="720"/>
        <w:rPr>
          <w:rFonts w:ascii="Times New Roman" w:hAnsi="Times New Roman" w:cs="Times New Roman"/>
        </w:rPr>
      </w:pPr>
      <w:r w:rsidRPr="008C694C">
        <w:rPr>
          <w:rFonts w:ascii="Times New Roman" w:hAnsi="Times New Roman" w:cs="Times New Roman"/>
        </w:rPr>
        <w:t xml:space="preserve">It is critical that the First Circuit follow Washington </w:t>
      </w:r>
      <w:proofErr w:type="gramStart"/>
      <w:r w:rsidRPr="008C694C">
        <w:rPr>
          <w:rFonts w:ascii="Times New Roman" w:hAnsi="Times New Roman" w:cs="Times New Roman"/>
        </w:rPr>
        <w:t>state’s</w:t>
      </w:r>
      <w:proofErr w:type="gramEnd"/>
      <w:r w:rsidRPr="008C694C">
        <w:rPr>
          <w:rFonts w:ascii="Times New Roman" w:hAnsi="Times New Roman" w:cs="Times New Roman"/>
        </w:rPr>
        <w:t xml:space="preserve"> lead and </w:t>
      </w:r>
      <w:r w:rsidR="00194742" w:rsidRPr="008C694C">
        <w:rPr>
          <w:rFonts w:ascii="Times New Roman" w:hAnsi="Times New Roman" w:cs="Times New Roman"/>
        </w:rPr>
        <w:t xml:space="preserve">rule that Section 230 of the CDA does not bar plaintiff’s lawsuit against </w:t>
      </w:r>
      <w:proofErr w:type="spellStart"/>
      <w:r w:rsidR="00194742" w:rsidRPr="008C694C">
        <w:rPr>
          <w:rFonts w:ascii="Times New Roman" w:hAnsi="Times New Roman" w:cs="Times New Roman"/>
        </w:rPr>
        <w:t>Backpage</w:t>
      </w:r>
      <w:proofErr w:type="spellEnd"/>
      <w:r w:rsidRPr="008C694C">
        <w:rPr>
          <w:rFonts w:ascii="Times New Roman" w:hAnsi="Times New Roman" w:cs="Times New Roman"/>
        </w:rPr>
        <w:t xml:space="preserve">. </w:t>
      </w:r>
      <w:r w:rsidR="00DA2692" w:rsidRPr="008C694C">
        <w:rPr>
          <w:rFonts w:ascii="Times New Roman" w:hAnsi="Times New Roman" w:cs="Times New Roman"/>
        </w:rPr>
        <w:t xml:space="preserve">Plaintiffs have illustrated that </w:t>
      </w:r>
      <w:proofErr w:type="spellStart"/>
      <w:r w:rsidR="00DA2692" w:rsidRPr="008C694C">
        <w:rPr>
          <w:rFonts w:ascii="Times New Roman" w:hAnsi="Times New Roman" w:cs="Times New Roman"/>
        </w:rPr>
        <w:t>Backpage’s</w:t>
      </w:r>
      <w:proofErr w:type="spellEnd"/>
      <w:r w:rsidR="00DA2692" w:rsidRPr="008C694C">
        <w:rPr>
          <w:rFonts w:ascii="Times New Roman" w:hAnsi="Times New Roman" w:cs="Times New Roman"/>
        </w:rPr>
        <w:t xml:space="preserve"> business practices and treatment of content on its website made it a direct participant in their trafficking. </w:t>
      </w:r>
      <w:r w:rsidR="00B9411C" w:rsidRPr="008C694C">
        <w:rPr>
          <w:rFonts w:ascii="Times New Roman" w:hAnsi="Times New Roman" w:cs="Times New Roman"/>
        </w:rPr>
        <w:t>Plaintiffs</w:t>
      </w:r>
      <w:r w:rsidR="002B2BA9" w:rsidRPr="008C694C">
        <w:rPr>
          <w:rFonts w:ascii="Times New Roman" w:hAnsi="Times New Roman" w:cs="Times New Roman"/>
        </w:rPr>
        <w:t xml:space="preserve"> do not attempt to hold </w:t>
      </w:r>
      <w:proofErr w:type="spellStart"/>
      <w:r w:rsidR="002B2BA9" w:rsidRPr="008C694C">
        <w:rPr>
          <w:rFonts w:ascii="Times New Roman" w:hAnsi="Times New Roman" w:cs="Times New Roman"/>
        </w:rPr>
        <w:t>Backpage</w:t>
      </w:r>
      <w:proofErr w:type="spellEnd"/>
      <w:r w:rsidR="002B2BA9" w:rsidRPr="008C694C">
        <w:rPr>
          <w:rFonts w:ascii="Times New Roman" w:hAnsi="Times New Roman" w:cs="Times New Roman"/>
        </w:rPr>
        <w:t xml:space="preserve"> liable as a </w:t>
      </w:r>
      <w:r w:rsidR="00B97FE4" w:rsidRPr="008C694C">
        <w:rPr>
          <w:rFonts w:ascii="Times New Roman" w:hAnsi="Times New Roman" w:cs="Times New Roman"/>
        </w:rPr>
        <w:t xml:space="preserve">mere </w:t>
      </w:r>
      <w:r w:rsidR="002B2BA9" w:rsidRPr="008C694C">
        <w:rPr>
          <w:rFonts w:ascii="Times New Roman" w:hAnsi="Times New Roman" w:cs="Times New Roman"/>
        </w:rPr>
        <w:t>publisher</w:t>
      </w:r>
      <w:r w:rsidR="00B97FE4" w:rsidRPr="008C694C">
        <w:rPr>
          <w:rFonts w:ascii="Times New Roman" w:hAnsi="Times New Roman" w:cs="Times New Roman"/>
        </w:rPr>
        <w:t xml:space="preserve"> of the ads that led to their trafficking</w:t>
      </w:r>
      <w:r w:rsidR="0063038F" w:rsidRPr="008C694C">
        <w:rPr>
          <w:rFonts w:ascii="Times New Roman" w:hAnsi="Times New Roman" w:cs="Times New Roman"/>
        </w:rPr>
        <w:t xml:space="preserve">, but as the </w:t>
      </w:r>
      <w:r w:rsidR="002B2BA9" w:rsidRPr="008C694C">
        <w:rPr>
          <w:rFonts w:ascii="Times New Roman" w:hAnsi="Times New Roman" w:cs="Times New Roman"/>
        </w:rPr>
        <w:t xml:space="preserve">developer of the content </w:t>
      </w:r>
      <w:r w:rsidR="00B97FE4" w:rsidRPr="008C694C">
        <w:rPr>
          <w:rFonts w:ascii="Times New Roman" w:hAnsi="Times New Roman" w:cs="Times New Roman"/>
        </w:rPr>
        <w:t xml:space="preserve">of those ads itself. Through its business practices and treatment of content on its website, </w:t>
      </w:r>
      <w:proofErr w:type="spellStart"/>
      <w:r w:rsidR="00B97FE4" w:rsidRPr="008C694C">
        <w:rPr>
          <w:rFonts w:ascii="Times New Roman" w:hAnsi="Times New Roman" w:cs="Times New Roman"/>
        </w:rPr>
        <w:t>Backpage</w:t>
      </w:r>
      <w:proofErr w:type="spellEnd"/>
      <w:r w:rsidR="00B97FE4" w:rsidRPr="008C694C">
        <w:rPr>
          <w:rFonts w:ascii="Times New Roman" w:hAnsi="Times New Roman" w:cs="Times New Roman"/>
        </w:rPr>
        <w:t xml:space="preserve"> “incentivizes and encourages illegal activity,” “enables pimps to evade law enforcement,” </w:t>
      </w:r>
      <w:r w:rsidR="00C271B0" w:rsidRPr="008C694C">
        <w:rPr>
          <w:rFonts w:ascii="Times New Roman" w:hAnsi="Times New Roman" w:cs="Times New Roman"/>
        </w:rPr>
        <w:t xml:space="preserve">and </w:t>
      </w:r>
      <w:r w:rsidR="00B97FE4" w:rsidRPr="008C694C">
        <w:rPr>
          <w:rFonts w:ascii="Times New Roman" w:hAnsi="Times New Roman" w:cs="Times New Roman"/>
        </w:rPr>
        <w:t>“coaches posters</w:t>
      </w:r>
      <w:r w:rsidR="009257C9" w:rsidRPr="008C694C">
        <w:rPr>
          <w:rFonts w:ascii="Times New Roman" w:hAnsi="Times New Roman" w:cs="Times New Roman"/>
        </w:rPr>
        <w:t>”</w:t>
      </w:r>
      <w:r w:rsidR="00B97FE4" w:rsidRPr="008C694C">
        <w:rPr>
          <w:rFonts w:ascii="Times New Roman" w:hAnsi="Times New Roman" w:cs="Times New Roman"/>
        </w:rPr>
        <w:t xml:space="preserve"> </w:t>
      </w:r>
      <w:r w:rsidR="00351D7A" w:rsidRPr="008C694C">
        <w:rPr>
          <w:rFonts w:ascii="Times New Roman" w:hAnsi="Times New Roman" w:cs="Times New Roman"/>
        </w:rPr>
        <w:t>to create ads for child sex in a coded, not expl</w:t>
      </w:r>
      <w:r w:rsidR="00C271B0" w:rsidRPr="008C694C">
        <w:rPr>
          <w:rFonts w:ascii="Times New Roman" w:hAnsi="Times New Roman" w:cs="Times New Roman"/>
        </w:rPr>
        <w:t>icit, manner.</w:t>
      </w:r>
      <w:r w:rsidR="008D366D" w:rsidRPr="008C694C">
        <w:rPr>
          <w:rStyle w:val="EndnoteReference"/>
          <w:rFonts w:ascii="Times New Roman" w:hAnsi="Times New Roman" w:cs="Times New Roman"/>
        </w:rPr>
        <w:endnoteReference w:id="55"/>
      </w:r>
      <w:r w:rsidR="00C271B0" w:rsidRPr="008C694C">
        <w:rPr>
          <w:rFonts w:ascii="Times New Roman" w:hAnsi="Times New Roman" w:cs="Times New Roman"/>
        </w:rPr>
        <w:t xml:space="preserve"> </w:t>
      </w:r>
      <w:proofErr w:type="spellStart"/>
      <w:r w:rsidR="00C271B0" w:rsidRPr="008C694C">
        <w:rPr>
          <w:rFonts w:ascii="Times New Roman" w:hAnsi="Times New Roman" w:cs="Times New Roman"/>
        </w:rPr>
        <w:t>Backpage</w:t>
      </w:r>
      <w:proofErr w:type="spellEnd"/>
      <w:r w:rsidR="00C271B0" w:rsidRPr="008C694C">
        <w:rPr>
          <w:rFonts w:ascii="Times New Roman" w:hAnsi="Times New Roman" w:cs="Times New Roman"/>
        </w:rPr>
        <w:t xml:space="preserve"> is not being sued because its website merely hosts these ads. It is</w:t>
      </w:r>
      <w:r w:rsidR="00351D7A" w:rsidRPr="008C694C">
        <w:rPr>
          <w:rFonts w:ascii="Times New Roman" w:hAnsi="Times New Roman" w:cs="Times New Roman"/>
        </w:rPr>
        <w:t xml:space="preserve"> </w:t>
      </w:r>
      <w:r w:rsidR="002B2BA9" w:rsidRPr="008C694C">
        <w:rPr>
          <w:rFonts w:ascii="Times New Roman" w:hAnsi="Times New Roman" w:cs="Times New Roman"/>
        </w:rPr>
        <w:t xml:space="preserve">“being sued for the </w:t>
      </w:r>
      <w:r w:rsidR="000A7E72" w:rsidRPr="008C694C">
        <w:rPr>
          <w:rFonts w:ascii="Times New Roman" w:hAnsi="Times New Roman" w:cs="Times New Roman"/>
        </w:rPr>
        <w:t>predictable</w:t>
      </w:r>
      <w:r w:rsidR="002B2BA9" w:rsidRPr="008C694C">
        <w:rPr>
          <w:rFonts w:ascii="Times New Roman" w:hAnsi="Times New Roman" w:cs="Times New Roman"/>
        </w:rPr>
        <w:t xml:space="preserve"> consequences of creating a website designed to solicit” illegal ads for prostitution and child sexual exploitation.</w:t>
      </w:r>
      <w:r w:rsidR="008D366D" w:rsidRPr="008C694C">
        <w:rPr>
          <w:rStyle w:val="EndnoteReference"/>
          <w:rFonts w:ascii="Times New Roman" w:hAnsi="Times New Roman" w:cs="Times New Roman"/>
        </w:rPr>
        <w:endnoteReference w:id="56"/>
      </w:r>
      <w:r w:rsidR="00B905E1" w:rsidRPr="008C694C">
        <w:rPr>
          <w:rFonts w:ascii="Times New Roman" w:hAnsi="Times New Roman" w:cs="Times New Roman"/>
        </w:rPr>
        <w:t xml:space="preserve"> </w:t>
      </w:r>
      <w:r w:rsidR="00812DFB" w:rsidRPr="008C694C">
        <w:rPr>
          <w:rFonts w:ascii="Times New Roman" w:hAnsi="Times New Roman" w:cs="Times New Roman"/>
        </w:rPr>
        <w:t xml:space="preserve">It is simply not entitled to section </w:t>
      </w:r>
      <w:proofErr w:type="gramStart"/>
      <w:r w:rsidR="00812DFB" w:rsidRPr="008C694C">
        <w:rPr>
          <w:rFonts w:ascii="Times New Roman" w:hAnsi="Times New Roman" w:cs="Times New Roman"/>
        </w:rPr>
        <w:t>230 immunity for this conduct</w:t>
      </w:r>
      <w:proofErr w:type="gramEnd"/>
      <w:r w:rsidR="00812DFB" w:rsidRPr="008C694C">
        <w:rPr>
          <w:rFonts w:ascii="Times New Roman" w:hAnsi="Times New Roman" w:cs="Times New Roman"/>
        </w:rPr>
        <w:t>.</w:t>
      </w:r>
    </w:p>
    <w:p w14:paraId="66A7264E" w14:textId="0BD42D74" w:rsidR="00346F9E" w:rsidRPr="008C694C" w:rsidRDefault="006E3C64" w:rsidP="006E3C64">
      <w:pPr>
        <w:pStyle w:val="ListParagraph"/>
        <w:numPr>
          <w:ilvl w:val="0"/>
          <w:numId w:val="2"/>
        </w:numPr>
        <w:rPr>
          <w:rFonts w:ascii="Times New Roman" w:hAnsi="Times New Roman" w:cs="Times New Roman"/>
          <w:b/>
          <w:u w:val="single"/>
        </w:rPr>
      </w:pPr>
      <w:r w:rsidRPr="008C694C">
        <w:rPr>
          <w:rFonts w:ascii="Times New Roman" w:hAnsi="Times New Roman" w:cs="Times New Roman"/>
          <w:b/>
          <w:u w:val="single"/>
        </w:rPr>
        <w:t xml:space="preserve">The CDA and </w:t>
      </w:r>
      <w:r w:rsidR="00780F27" w:rsidRPr="008C694C">
        <w:rPr>
          <w:rFonts w:ascii="Times New Roman" w:hAnsi="Times New Roman" w:cs="Times New Roman"/>
          <w:b/>
          <w:u w:val="single"/>
        </w:rPr>
        <w:t>Suits Against Other Websites</w:t>
      </w:r>
    </w:p>
    <w:p w14:paraId="0460C1B1" w14:textId="77777777" w:rsidR="00B32E3B" w:rsidRPr="008C694C" w:rsidRDefault="00B32E3B" w:rsidP="00B32E3B">
      <w:pPr>
        <w:rPr>
          <w:rFonts w:ascii="Times New Roman" w:hAnsi="Times New Roman" w:cs="Times New Roman"/>
          <w:b/>
          <w:u w:val="single"/>
        </w:rPr>
      </w:pPr>
    </w:p>
    <w:p w14:paraId="395C6B17" w14:textId="4457CE10" w:rsidR="00537744" w:rsidRPr="008C694C" w:rsidRDefault="006D3A82" w:rsidP="004A556B">
      <w:pPr>
        <w:spacing w:line="480" w:lineRule="auto"/>
        <w:ind w:firstLine="720"/>
        <w:rPr>
          <w:rFonts w:ascii="Times New Roman" w:hAnsi="Times New Roman" w:cs="Times New Roman"/>
        </w:rPr>
      </w:pPr>
      <w:r w:rsidRPr="008C694C">
        <w:rPr>
          <w:rFonts w:ascii="Times New Roman" w:hAnsi="Times New Roman" w:cs="Times New Roman"/>
        </w:rPr>
        <w:t>Victims</w:t>
      </w:r>
      <w:r w:rsidR="00B32E3B" w:rsidRPr="008C694C">
        <w:rPr>
          <w:rFonts w:ascii="Times New Roman" w:hAnsi="Times New Roman" w:cs="Times New Roman"/>
        </w:rPr>
        <w:t xml:space="preserve"> of abuse have also used tort liability to sue profile-based websites </w:t>
      </w:r>
      <w:r w:rsidR="00212759" w:rsidRPr="008C694C">
        <w:rPr>
          <w:rFonts w:ascii="Times New Roman" w:hAnsi="Times New Roman" w:cs="Times New Roman"/>
        </w:rPr>
        <w:t>when they are harmed by website users</w:t>
      </w:r>
      <w:r w:rsidR="00656FF3" w:rsidRPr="008C694C">
        <w:rPr>
          <w:rFonts w:ascii="Times New Roman" w:hAnsi="Times New Roman" w:cs="Times New Roman"/>
        </w:rPr>
        <w:t>. In</w:t>
      </w:r>
      <w:r w:rsidR="000F16E5" w:rsidRPr="008C694C">
        <w:rPr>
          <w:rFonts w:ascii="Times New Roman" w:hAnsi="Times New Roman" w:cs="Times New Roman"/>
        </w:rPr>
        <w:t xml:space="preserve"> a case pending before the Ninth Circuit, </w:t>
      </w:r>
      <w:r w:rsidR="00212759" w:rsidRPr="008C694C">
        <w:rPr>
          <w:rFonts w:ascii="Times New Roman" w:hAnsi="Times New Roman" w:cs="Times New Roman"/>
        </w:rPr>
        <w:t xml:space="preserve">a plaintiff sued the website Model Mayhem after she </w:t>
      </w:r>
      <w:r w:rsidR="00AD1345" w:rsidRPr="008C694C">
        <w:rPr>
          <w:rFonts w:ascii="Times New Roman" w:hAnsi="Times New Roman" w:cs="Times New Roman"/>
        </w:rPr>
        <w:t xml:space="preserve">met two men on the site who </w:t>
      </w:r>
      <w:r w:rsidR="00FA616C" w:rsidRPr="008C694C">
        <w:rPr>
          <w:rFonts w:ascii="Times New Roman" w:hAnsi="Times New Roman" w:cs="Times New Roman"/>
        </w:rPr>
        <w:t>saw her profile.</w:t>
      </w:r>
      <w:r w:rsidR="00DF38D2" w:rsidRPr="008C694C">
        <w:rPr>
          <w:rStyle w:val="EndnoteReference"/>
          <w:rFonts w:ascii="Times New Roman" w:hAnsi="Times New Roman" w:cs="Times New Roman"/>
        </w:rPr>
        <w:endnoteReference w:id="57"/>
      </w:r>
      <w:r w:rsidR="00FA616C" w:rsidRPr="008C694C">
        <w:rPr>
          <w:rFonts w:ascii="Times New Roman" w:hAnsi="Times New Roman" w:cs="Times New Roman"/>
        </w:rPr>
        <w:t xml:space="preserve"> They </w:t>
      </w:r>
      <w:r w:rsidR="00AD1345" w:rsidRPr="008C694C">
        <w:rPr>
          <w:rFonts w:ascii="Times New Roman" w:hAnsi="Times New Roman" w:cs="Times New Roman"/>
        </w:rPr>
        <w:t xml:space="preserve">claimed to be </w:t>
      </w:r>
      <w:r w:rsidR="00FA616C" w:rsidRPr="008C694C">
        <w:rPr>
          <w:rFonts w:ascii="Times New Roman" w:hAnsi="Times New Roman" w:cs="Times New Roman"/>
        </w:rPr>
        <w:t>talent scouts, and lured the plaintiff to Miami for a “modeling audition,” where t</w:t>
      </w:r>
      <w:r w:rsidR="00AD1345" w:rsidRPr="008C694C">
        <w:rPr>
          <w:rFonts w:ascii="Times New Roman" w:hAnsi="Times New Roman" w:cs="Times New Roman"/>
        </w:rPr>
        <w:t>hey drugged, raped, and filmed them having sex with her</w:t>
      </w:r>
      <w:r w:rsidR="00FA616C" w:rsidRPr="008C694C">
        <w:rPr>
          <w:rFonts w:ascii="Times New Roman" w:hAnsi="Times New Roman" w:cs="Times New Roman"/>
        </w:rPr>
        <w:t>, which they later sold as pornography</w:t>
      </w:r>
      <w:r w:rsidR="00AD1345" w:rsidRPr="008C694C">
        <w:rPr>
          <w:rFonts w:ascii="Times New Roman" w:hAnsi="Times New Roman" w:cs="Times New Roman"/>
        </w:rPr>
        <w:t>.</w:t>
      </w:r>
      <w:r w:rsidR="00DF38D2" w:rsidRPr="008C694C">
        <w:rPr>
          <w:rStyle w:val="EndnoteReference"/>
          <w:rFonts w:ascii="Times New Roman" w:hAnsi="Times New Roman" w:cs="Times New Roman"/>
        </w:rPr>
        <w:endnoteReference w:id="58"/>
      </w:r>
      <w:r w:rsidR="00AD1345" w:rsidRPr="008C694C">
        <w:rPr>
          <w:rFonts w:ascii="Times New Roman" w:hAnsi="Times New Roman" w:cs="Times New Roman"/>
        </w:rPr>
        <w:t xml:space="preserve"> </w:t>
      </w:r>
      <w:r w:rsidR="00A8111B" w:rsidRPr="008C694C">
        <w:rPr>
          <w:rFonts w:ascii="Times New Roman" w:hAnsi="Times New Roman" w:cs="Times New Roman"/>
        </w:rPr>
        <w:t xml:space="preserve">The plaintiff was not these predators’ first victim, and </w:t>
      </w:r>
      <w:r w:rsidR="007B08CE" w:rsidRPr="008C694C">
        <w:rPr>
          <w:rFonts w:ascii="Times New Roman" w:hAnsi="Times New Roman" w:cs="Times New Roman"/>
        </w:rPr>
        <w:t xml:space="preserve">in fact, </w:t>
      </w:r>
      <w:r w:rsidR="00A8111B" w:rsidRPr="008C694C">
        <w:rPr>
          <w:rFonts w:ascii="Times New Roman" w:hAnsi="Times New Roman" w:cs="Times New Roman"/>
        </w:rPr>
        <w:t>t</w:t>
      </w:r>
      <w:r w:rsidR="003138F4" w:rsidRPr="008C694C">
        <w:rPr>
          <w:rFonts w:ascii="Times New Roman" w:hAnsi="Times New Roman" w:cs="Times New Roman"/>
        </w:rPr>
        <w:t xml:space="preserve">he company that owned Model Mayhem was </w:t>
      </w:r>
      <w:r w:rsidR="007B08CE" w:rsidRPr="008C694C">
        <w:rPr>
          <w:rFonts w:ascii="Times New Roman" w:hAnsi="Times New Roman" w:cs="Times New Roman"/>
        </w:rPr>
        <w:t xml:space="preserve">actually </w:t>
      </w:r>
      <w:r w:rsidR="003138F4" w:rsidRPr="008C694C">
        <w:rPr>
          <w:rFonts w:ascii="Times New Roman" w:hAnsi="Times New Roman" w:cs="Times New Roman"/>
        </w:rPr>
        <w:t>aware of how these two men were using the website.</w:t>
      </w:r>
      <w:r w:rsidR="00DF38D2" w:rsidRPr="008C694C">
        <w:rPr>
          <w:rStyle w:val="EndnoteReference"/>
          <w:rFonts w:ascii="Times New Roman" w:hAnsi="Times New Roman" w:cs="Times New Roman"/>
        </w:rPr>
        <w:endnoteReference w:id="59"/>
      </w:r>
      <w:r w:rsidR="003138F4" w:rsidRPr="008C694C">
        <w:rPr>
          <w:rFonts w:ascii="Times New Roman" w:hAnsi="Times New Roman" w:cs="Times New Roman"/>
        </w:rPr>
        <w:t xml:space="preserve"> In her lawsuit, t</w:t>
      </w:r>
      <w:r w:rsidR="00AD1345" w:rsidRPr="008C694C">
        <w:rPr>
          <w:rFonts w:ascii="Times New Roman" w:hAnsi="Times New Roman" w:cs="Times New Roman"/>
        </w:rPr>
        <w:t xml:space="preserve">he plaintiff argued that </w:t>
      </w:r>
      <w:r w:rsidR="00A8111B" w:rsidRPr="008C694C">
        <w:rPr>
          <w:rFonts w:ascii="Times New Roman" w:hAnsi="Times New Roman" w:cs="Times New Roman"/>
        </w:rPr>
        <w:t>the website should be liable</w:t>
      </w:r>
      <w:r w:rsidR="00EC0E73" w:rsidRPr="008C694C">
        <w:rPr>
          <w:rFonts w:ascii="Times New Roman" w:hAnsi="Times New Roman" w:cs="Times New Roman"/>
        </w:rPr>
        <w:t xml:space="preserve"> for failing to warn her of the rape scheme.</w:t>
      </w:r>
      <w:r w:rsidR="00DF38D2" w:rsidRPr="008C694C">
        <w:rPr>
          <w:rStyle w:val="EndnoteReference"/>
          <w:rFonts w:ascii="Times New Roman" w:hAnsi="Times New Roman" w:cs="Times New Roman"/>
        </w:rPr>
        <w:endnoteReference w:id="60"/>
      </w:r>
      <w:r w:rsidR="00EC0E73" w:rsidRPr="008C694C">
        <w:rPr>
          <w:rFonts w:ascii="Times New Roman" w:hAnsi="Times New Roman" w:cs="Times New Roman"/>
        </w:rPr>
        <w:t xml:space="preserve"> </w:t>
      </w:r>
    </w:p>
    <w:p w14:paraId="1205EA2F" w14:textId="2243C4A0" w:rsidR="00537744" w:rsidRPr="008C694C" w:rsidRDefault="00537744" w:rsidP="004A556B">
      <w:pPr>
        <w:spacing w:line="480" w:lineRule="auto"/>
        <w:ind w:firstLine="720"/>
        <w:rPr>
          <w:rFonts w:ascii="Times New Roman" w:hAnsi="Times New Roman" w:cs="Times New Roman"/>
        </w:rPr>
      </w:pPr>
      <w:r w:rsidRPr="008C694C">
        <w:rPr>
          <w:rFonts w:ascii="Times New Roman" w:hAnsi="Times New Roman" w:cs="Times New Roman"/>
        </w:rPr>
        <w:t>Model Mayhem argued that section 230 of the CDA barred her lawsuit, but the Ninth Circuit disagreed.</w:t>
      </w:r>
      <w:r w:rsidR="00DF38D2" w:rsidRPr="008C694C">
        <w:rPr>
          <w:rStyle w:val="EndnoteReference"/>
          <w:rFonts w:ascii="Times New Roman" w:hAnsi="Times New Roman" w:cs="Times New Roman"/>
        </w:rPr>
        <w:endnoteReference w:id="61"/>
      </w:r>
      <w:r w:rsidRPr="008C694C">
        <w:rPr>
          <w:rFonts w:ascii="Times New Roman" w:hAnsi="Times New Roman" w:cs="Times New Roman"/>
        </w:rPr>
        <w:t xml:space="preserve"> </w:t>
      </w:r>
      <w:r w:rsidR="00DA6520" w:rsidRPr="008C694C">
        <w:rPr>
          <w:rFonts w:ascii="Times New Roman" w:hAnsi="Times New Roman" w:cs="Times New Roman"/>
        </w:rPr>
        <w:t xml:space="preserve">The plaintiff did not seek to hold </w:t>
      </w:r>
      <w:r w:rsidR="00E6161E" w:rsidRPr="008C694C">
        <w:rPr>
          <w:rFonts w:ascii="Times New Roman" w:hAnsi="Times New Roman" w:cs="Times New Roman"/>
        </w:rPr>
        <w:t xml:space="preserve">Model Mayhem liable as a “publisher or speaker of content someone posted on the website,” but </w:t>
      </w:r>
      <w:r w:rsidR="00070EB0" w:rsidRPr="008C694C">
        <w:rPr>
          <w:rFonts w:ascii="Times New Roman" w:hAnsi="Times New Roman" w:cs="Times New Roman"/>
        </w:rPr>
        <w:t xml:space="preserve">for its failure to inform her and other users of the </w:t>
      </w:r>
      <w:r w:rsidR="00827E3E" w:rsidRPr="008C694C">
        <w:rPr>
          <w:rFonts w:ascii="Times New Roman" w:hAnsi="Times New Roman" w:cs="Times New Roman"/>
        </w:rPr>
        <w:t xml:space="preserve">known </w:t>
      </w:r>
      <w:r w:rsidR="00070EB0" w:rsidRPr="008C694C">
        <w:rPr>
          <w:rFonts w:ascii="Times New Roman" w:hAnsi="Times New Roman" w:cs="Times New Roman"/>
        </w:rPr>
        <w:t>danger the rape scheme posed.</w:t>
      </w:r>
      <w:r w:rsidR="00DF38D2" w:rsidRPr="008C694C">
        <w:rPr>
          <w:rStyle w:val="EndnoteReference"/>
          <w:rFonts w:ascii="Times New Roman" w:hAnsi="Times New Roman" w:cs="Times New Roman"/>
        </w:rPr>
        <w:endnoteReference w:id="62"/>
      </w:r>
      <w:r w:rsidR="00070EB0" w:rsidRPr="008C694C">
        <w:rPr>
          <w:rFonts w:ascii="Times New Roman" w:hAnsi="Times New Roman" w:cs="Times New Roman"/>
        </w:rPr>
        <w:t xml:space="preserve"> Model Mayhem’s </w:t>
      </w:r>
      <w:r w:rsidR="00827E3E" w:rsidRPr="008C694C">
        <w:rPr>
          <w:rFonts w:ascii="Times New Roman" w:hAnsi="Times New Roman" w:cs="Times New Roman"/>
        </w:rPr>
        <w:t xml:space="preserve">tort </w:t>
      </w:r>
      <w:r w:rsidR="00070EB0" w:rsidRPr="008C694C">
        <w:rPr>
          <w:rFonts w:ascii="Times New Roman" w:hAnsi="Times New Roman" w:cs="Times New Roman"/>
        </w:rPr>
        <w:t xml:space="preserve">duty did not </w:t>
      </w:r>
      <w:r w:rsidR="00827E3E" w:rsidRPr="008C694C">
        <w:rPr>
          <w:rFonts w:ascii="Times New Roman" w:hAnsi="Times New Roman" w:cs="Times New Roman"/>
        </w:rPr>
        <w:t>arise from “allegations about mishandling third party content” or “an alleged failure to adequately regulate access to user content”</w:t>
      </w:r>
      <w:r w:rsidR="00070EB0" w:rsidRPr="008C694C">
        <w:rPr>
          <w:rFonts w:ascii="Times New Roman" w:hAnsi="Times New Roman" w:cs="Times New Roman"/>
        </w:rPr>
        <w:t>; in fact, the predators didn’t even have any profile or post any content on the website.</w:t>
      </w:r>
      <w:r w:rsidR="00DF38D2" w:rsidRPr="008C694C">
        <w:rPr>
          <w:rStyle w:val="EndnoteReference"/>
          <w:rFonts w:ascii="Times New Roman" w:hAnsi="Times New Roman" w:cs="Times New Roman"/>
        </w:rPr>
        <w:endnoteReference w:id="63"/>
      </w:r>
      <w:r w:rsidR="00827E3E" w:rsidRPr="008C694C">
        <w:rPr>
          <w:rFonts w:ascii="Times New Roman" w:hAnsi="Times New Roman" w:cs="Times New Roman"/>
        </w:rPr>
        <w:t xml:space="preserve"> After allowing the plaintiff’s suit to proceed, the Ninth Circuit granted Model Mayhem’s motion for a re-hearing</w:t>
      </w:r>
      <w:r w:rsidR="009069CB" w:rsidRPr="008C694C">
        <w:rPr>
          <w:rFonts w:ascii="Times New Roman" w:hAnsi="Times New Roman" w:cs="Times New Roman"/>
        </w:rPr>
        <w:t xml:space="preserve"> and withdrew its original opinion</w:t>
      </w:r>
      <w:r w:rsidR="00EC45D1" w:rsidRPr="008C694C">
        <w:rPr>
          <w:rFonts w:ascii="Times New Roman" w:hAnsi="Times New Roman" w:cs="Times New Roman"/>
        </w:rPr>
        <w:t>.</w:t>
      </w:r>
      <w:r w:rsidR="00EC45D1" w:rsidRPr="008C694C">
        <w:rPr>
          <w:rStyle w:val="EndnoteReference"/>
          <w:rFonts w:ascii="Times New Roman" w:hAnsi="Times New Roman" w:cs="Times New Roman"/>
        </w:rPr>
        <w:t xml:space="preserve"> </w:t>
      </w:r>
      <w:r w:rsidR="00EC45D1" w:rsidRPr="008C694C">
        <w:rPr>
          <w:rStyle w:val="EndnoteReference"/>
          <w:rFonts w:ascii="Times New Roman" w:hAnsi="Times New Roman" w:cs="Times New Roman"/>
        </w:rPr>
        <w:endnoteReference w:id="64"/>
      </w:r>
      <w:r w:rsidR="00EC45D1" w:rsidRPr="008C694C">
        <w:rPr>
          <w:rFonts w:ascii="Times New Roman" w:hAnsi="Times New Roman" w:cs="Times New Roman"/>
        </w:rPr>
        <w:t xml:space="preserve">  I</w:t>
      </w:r>
      <w:r w:rsidR="00827E3E" w:rsidRPr="008C694C">
        <w:rPr>
          <w:rFonts w:ascii="Times New Roman" w:hAnsi="Times New Roman" w:cs="Times New Roman"/>
        </w:rPr>
        <w:t xml:space="preserve">t is unclear if the court will reverse or limit its original ruling. </w:t>
      </w:r>
    </w:p>
    <w:p w14:paraId="4D6BA12E" w14:textId="0B07E073" w:rsidR="00464A8B" w:rsidRPr="008C694C" w:rsidRDefault="00B32E3B" w:rsidP="00510D0D">
      <w:pPr>
        <w:spacing w:line="480" w:lineRule="auto"/>
        <w:ind w:firstLine="720"/>
        <w:rPr>
          <w:rFonts w:ascii="Times New Roman" w:hAnsi="Times New Roman" w:cs="Times New Roman"/>
        </w:rPr>
      </w:pPr>
      <w:r w:rsidRPr="008C694C">
        <w:rPr>
          <w:rFonts w:ascii="Times New Roman" w:hAnsi="Times New Roman" w:cs="Times New Roman"/>
        </w:rPr>
        <w:t xml:space="preserve">This case may </w:t>
      </w:r>
      <w:r w:rsidR="00C71EA1" w:rsidRPr="008C694C">
        <w:rPr>
          <w:rFonts w:ascii="Times New Roman" w:hAnsi="Times New Roman" w:cs="Times New Roman"/>
        </w:rPr>
        <w:t xml:space="preserve">ultimately be limited to its unique facts, and critics have pointed to the practical difficulties of enforcing such an obligation </w:t>
      </w:r>
      <w:r w:rsidR="00DA6520" w:rsidRPr="008C694C">
        <w:rPr>
          <w:rFonts w:ascii="Times New Roman" w:hAnsi="Times New Roman" w:cs="Times New Roman"/>
        </w:rPr>
        <w:t>to warn</w:t>
      </w:r>
      <w:r w:rsidR="00C71EA1" w:rsidRPr="008C694C">
        <w:rPr>
          <w:rFonts w:ascii="Times New Roman" w:hAnsi="Times New Roman" w:cs="Times New Roman"/>
        </w:rPr>
        <w:t>.</w:t>
      </w:r>
      <w:r w:rsidR="000F16E5" w:rsidRPr="008C694C">
        <w:rPr>
          <w:rStyle w:val="EndnoteReference"/>
          <w:rFonts w:ascii="Times New Roman" w:hAnsi="Times New Roman" w:cs="Times New Roman"/>
        </w:rPr>
        <w:endnoteReference w:id="65"/>
      </w:r>
      <w:r w:rsidR="00C71EA1" w:rsidRPr="008C694C">
        <w:rPr>
          <w:rFonts w:ascii="Times New Roman" w:hAnsi="Times New Roman" w:cs="Times New Roman"/>
        </w:rPr>
        <w:t xml:space="preserve"> However, if the Ninth Circuit upholds its original ruling, </w:t>
      </w:r>
      <w:r w:rsidR="007867C2" w:rsidRPr="008C694C">
        <w:rPr>
          <w:rFonts w:ascii="Times New Roman" w:hAnsi="Times New Roman" w:cs="Times New Roman"/>
        </w:rPr>
        <w:t>it could become a powerful tool for victims who wish to sue webs</w:t>
      </w:r>
      <w:r w:rsidR="001E1A36" w:rsidRPr="008C694C">
        <w:rPr>
          <w:rFonts w:ascii="Times New Roman" w:hAnsi="Times New Roman" w:cs="Times New Roman"/>
        </w:rPr>
        <w:t xml:space="preserve">ites like Facebook and MySpace. If these websites </w:t>
      </w:r>
      <w:r w:rsidR="00C71EA1" w:rsidRPr="008C694C">
        <w:rPr>
          <w:rFonts w:ascii="Times New Roman" w:hAnsi="Times New Roman" w:cs="Times New Roman"/>
        </w:rPr>
        <w:t xml:space="preserve">learn of specific </w:t>
      </w:r>
      <w:r w:rsidR="00D32295" w:rsidRPr="008C694C">
        <w:rPr>
          <w:rFonts w:ascii="Times New Roman" w:hAnsi="Times New Roman" w:cs="Times New Roman"/>
        </w:rPr>
        <w:t xml:space="preserve">trafficking recruiting </w:t>
      </w:r>
      <w:r w:rsidR="00C71EA1" w:rsidRPr="008C694C">
        <w:rPr>
          <w:rFonts w:ascii="Times New Roman" w:hAnsi="Times New Roman" w:cs="Times New Roman"/>
        </w:rPr>
        <w:t>conduct by specific individuals</w:t>
      </w:r>
      <w:r w:rsidR="00D32295" w:rsidRPr="008C694C">
        <w:rPr>
          <w:rFonts w:ascii="Times New Roman" w:hAnsi="Times New Roman" w:cs="Times New Roman"/>
        </w:rPr>
        <w:t>, they will not be able to idly stand by as their users are</w:t>
      </w:r>
      <w:r w:rsidR="00C71EA1" w:rsidRPr="008C694C">
        <w:rPr>
          <w:rFonts w:ascii="Times New Roman" w:hAnsi="Times New Roman" w:cs="Times New Roman"/>
        </w:rPr>
        <w:t xml:space="preserve"> </w:t>
      </w:r>
      <w:r w:rsidR="001E1A36" w:rsidRPr="008C694C">
        <w:rPr>
          <w:rFonts w:ascii="Times New Roman" w:hAnsi="Times New Roman" w:cs="Times New Roman"/>
        </w:rPr>
        <w:t>brutally victimized by predatory traffickers.</w:t>
      </w:r>
    </w:p>
    <w:p w14:paraId="17F41A42" w14:textId="0AA01E70" w:rsidR="00923484" w:rsidRPr="008C694C" w:rsidRDefault="00923484" w:rsidP="00AE4D56">
      <w:pPr>
        <w:pStyle w:val="ListParagraph"/>
        <w:numPr>
          <w:ilvl w:val="0"/>
          <w:numId w:val="2"/>
        </w:numPr>
        <w:rPr>
          <w:rFonts w:ascii="Times New Roman" w:hAnsi="Times New Roman" w:cs="Times New Roman"/>
          <w:b/>
          <w:u w:val="single"/>
        </w:rPr>
      </w:pPr>
      <w:r w:rsidRPr="008C694C">
        <w:rPr>
          <w:rFonts w:ascii="Times New Roman" w:hAnsi="Times New Roman" w:cs="Times New Roman"/>
          <w:b/>
          <w:u w:val="single"/>
        </w:rPr>
        <w:t>Conclusion</w:t>
      </w:r>
    </w:p>
    <w:p w14:paraId="316C4836" w14:textId="77777777" w:rsidR="000F16E5" w:rsidRPr="008C694C" w:rsidRDefault="000F16E5" w:rsidP="000F16E5">
      <w:pPr>
        <w:rPr>
          <w:rFonts w:ascii="Times New Roman" w:hAnsi="Times New Roman" w:cs="Times New Roman"/>
          <w:b/>
          <w:u w:val="single"/>
        </w:rPr>
      </w:pPr>
    </w:p>
    <w:p w14:paraId="5EDE9DF9" w14:textId="2CB01AF4" w:rsidR="000F16E5" w:rsidRPr="008C694C" w:rsidRDefault="00DF38D2" w:rsidP="007E7FB7">
      <w:pPr>
        <w:spacing w:line="480" w:lineRule="auto"/>
        <w:ind w:firstLine="720"/>
        <w:rPr>
          <w:rFonts w:ascii="Times New Roman" w:hAnsi="Times New Roman" w:cs="Times New Roman"/>
        </w:rPr>
      </w:pPr>
      <w:r w:rsidRPr="008C694C">
        <w:rPr>
          <w:rFonts w:ascii="Times New Roman" w:hAnsi="Times New Roman" w:cs="Times New Roman"/>
        </w:rPr>
        <w:t xml:space="preserve">The Communications Decency </w:t>
      </w:r>
      <w:r w:rsidR="00AD1345" w:rsidRPr="008C694C">
        <w:rPr>
          <w:rFonts w:ascii="Times New Roman" w:hAnsi="Times New Roman" w:cs="Times New Roman"/>
        </w:rPr>
        <w:t>Act helps protect</w:t>
      </w:r>
      <w:r w:rsidR="00B44A39" w:rsidRPr="008C694C">
        <w:rPr>
          <w:rFonts w:ascii="Times New Roman" w:hAnsi="Times New Roman" w:cs="Times New Roman"/>
        </w:rPr>
        <w:t xml:space="preserve"> websites from being liable as publishers for content created solely by their users</w:t>
      </w:r>
      <w:r w:rsidR="00AD1345" w:rsidRPr="008C694C">
        <w:rPr>
          <w:rFonts w:ascii="Times New Roman" w:hAnsi="Times New Roman" w:cs="Times New Roman"/>
        </w:rPr>
        <w:t>. In so doing, it helps maintain</w:t>
      </w:r>
      <w:r w:rsidR="00B44A39" w:rsidRPr="008C694C">
        <w:rPr>
          <w:rFonts w:ascii="Times New Roman" w:hAnsi="Times New Roman" w:cs="Times New Roman"/>
        </w:rPr>
        <w:t xml:space="preserve"> a vibrant, </w:t>
      </w:r>
      <w:r w:rsidR="004A556B" w:rsidRPr="008C694C">
        <w:rPr>
          <w:rFonts w:ascii="Times New Roman" w:hAnsi="Times New Roman" w:cs="Times New Roman"/>
        </w:rPr>
        <w:t>continually developing Internet that allows people to communicate readily and easily with each other, very frequently using “interactive computer services</w:t>
      </w:r>
      <w:r w:rsidR="00AD1345" w:rsidRPr="008C694C">
        <w:rPr>
          <w:rFonts w:ascii="Times New Roman" w:hAnsi="Times New Roman" w:cs="Times New Roman"/>
        </w:rPr>
        <w:t>.</w:t>
      </w:r>
      <w:r w:rsidR="004A556B" w:rsidRPr="008C694C">
        <w:rPr>
          <w:rFonts w:ascii="Times New Roman" w:hAnsi="Times New Roman" w:cs="Times New Roman"/>
        </w:rPr>
        <w:t>”</w:t>
      </w:r>
      <w:r w:rsidR="00AD1345" w:rsidRPr="008C694C">
        <w:rPr>
          <w:rFonts w:ascii="Times New Roman" w:hAnsi="Times New Roman" w:cs="Times New Roman"/>
        </w:rPr>
        <w:t xml:space="preserve"> </w:t>
      </w:r>
      <w:r w:rsidR="004A556B" w:rsidRPr="008C694C">
        <w:rPr>
          <w:rFonts w:ascii="Times New Roman" w:hAnsi="Times New Roman" w:cs="Times New Roman"/>
        </w:rPr>
        <w:t>However, the CDA</w:t>
      </w:r>
      <w:r w:rsidR="00AD1345" w:rsidRPr="008C694C">
        <w:rPr>
          <w:rFonts w:ascii="Times New Roman" w:hAnsi="Times New Roman" w:cs="Times New Roman"/>
        </w:rPr>
        <w:t xml:space="preserve"> </w:t>
      </w:r>
      <w:r w:rsidR="004A556B" w:rsidRPr="008C694C">
        <w:rPr>
          <w:rFonts w:ascii="Times New Roman" w:hAnsi="Times New Roman" w:cs="Times New Roman"/>
        </w:rPr>
        <w:t>“</w:t>
      </w:r>
      <w:r w:rsidR="00AD1345" w:rsidRPr="008C694C">
        <w:rPr>
          <w:rFonts w:ascii="Times New Roman" w:hAnsi="Times New Roman" w:cs="Times New Roman"/>
        </w:rPr>
        <w:t>was not mean</w:t>
      </w:r>
      <w:r w:rsidR="004A556B" w:rsidRPr="008C694C">
        <w:rPr>
          <w:rFonts w:ascii="Times New Roman" w:hAnsi="Times New Roman" w:cs="Times New Roman"/>
        </w:rPr>
        <w:t>t</w:t>
      </w:r>
      <w:r w:rsidR="00AD1345" w:rsidRPr="008C694C">
        <w:rPr>
          <w:rFonts w:ascii="Times New Roman" w:hAnsi="Times New Roman" w:cs="Times New Roman"/>
        </w:rPr>
        <w:t xml:space="preserve"> to create a lawless no man’s land</w:t>
      </w:r>
      <w:r w:rsidR="004A556B" w:rsidRPr="008C694C">
        <w:rPr>
          <w:rFonts w:ascii="Times New Roman" w:hAnsi="Times New Roman" w:cs="Times New Roman"/>
        </w:rPr>
        <w:t xml:space="preserve"> on the Internet</w:t>
      </w:r>
      <w:r w:rsidR="00AD1345" w:rsidRPr="008C694C">
        <w:rPr>
          <w:rFonts w:ascii="Times New Roman" w:hAnsi="Times New Roman" w:cs="Times New Roman"/>
        </w:rPr>
        <w:t>.</w:t>
      </w:r>
      <w:r w:rsidR="004A556B" w:rsidRPr="008C694C">
        <w:rPr>
          <w:rFonts w:ascii="Times New Roman" w:hAnsi="Times New Roman" w:cs="Times New Roman"/>
        </w:rPr>
        <w:t>”</w:t>
      </w:r>
      <w:r w:rsidR="009A4386" w:rsidRPr="008C694C">
        <w:rPr>
          <w:rStyle w:val="EndnoteReference"/>
          <w:rFonts w:ascii="Times New Roman" w:hAnsi="Times New Roman" w:cs="Times New Roman"/>
        </w:rPr>
        <w:endnoteReference w:id="66"/>
      </w:r>
      <w:r w:rsidR="00AD1345" w:rsidRPr="008C694C">
        <w:rPr>
          <w:rFonts w:ascii="Times New Roman" w:hAnsi="Times New Roman" w:cs="Times New Roman"/>
        </w:rPr>
        <w:t xml:space="preserve"> States have </w:t>
      </w:r>
      <w:r w:rsidR="009A4386" w:rsidRPr="008C694C">
        <w:rPr>
          <w:rFonts w:ascii="Times New Roman" w:hAnsi="Times New Roman" w:cs="Times New Roman"/>
        </w:rPr>
        <w:t xml:space="preserve">deliberately </w:t>
      </w:r>
      <w:r w:rsidR="00AD1345" w:rsidRPr="008C694C">
        <w:rPr>
          <w:rFonts w:ascii="Times New Roman" w:hAnsi="Times New Roman" w:cs="Times New Roman"/>
        </w:rPr>
        <w:t>chosen to enact laws that</w:t>
      </w:r>
      <w:r w:rsidR="009A4386" w:rsidRPr="008C694C">
        <w:rPr>
          <w:rFonts w:ascii="Times New Roman" w:hAnsi="Times New Roman" w:cs="Times New Roman"/>
        </w:rPr>
        <w:t xml:space="preserve"> hold traffickers accountable to their victims, and localities should be able to “</w:t>
      </w:r>
      <w:proofErr w:type="spellStart"/>
      <w:proofErr w:type="gramStart"/>
      <w:r w:rsidR="009A4386" w:rsidRPr="008C694C">
        <w:rPr>
          <w:rFonts w:ascii="Times New Roman" w:hAnsi="Times New Roman" w:cs="Times New Roman"/>
        </w:rPr>
        <w:t>preserv</w:t>
      </w:r>
      <w:proofErr w:type="spellEnd"/>
      <w:r w:rsidR="009A4386" w:rsidRPr="008C694C">
        <w:rPr>
          <w:rFonts w:ascii="Times New Roman" w:hAnsi="Times New Roman" w:cs="Times New Roman"/>
        </w:rPr>
        <w:t>[</w:t>
      </w:r>
      <w:proofErr w:type="gramEnd"/>
      <w:r w:rsidR="009A4386" w:rsidRPr="008C694C">
        <w:rPr>
          <w:rFonts w:ascii="Times New Roman" w:hAnsi="Times New Roman" w:cs="Times New Roman"/>
        </w:rPr>
        <w:t>e] the applicability of local laws to businesses that operate within their jurisdictions</w:t>
      </w:r>
      <w:r w:rsidR="00AD1345" w:rsidRPr="008C694C">
        <w:rPr>
          <w:rFonts w:ascii="Times New Roman" w:hAnsi="Times New Roman" w:cs="Times New Roman"/>
        </w:rPr>
        <w:t>.</w:t>
      </w:r>
      <w:r w:rsidR="009A4386" w:rsidRPr="008C694C">
        <w:rPr>
          <w:rFonts w:ascii="Times New Roman" w:hAnsi="Times New Roman" w:cs="Times New Roman"/>
        </w:rPr>
        <w:t>”</w:t>
      </w:r>
      <w:r w:rsidR="007E7FB7" w:rsidRPr="008C694C">
        <w:rPr>
          <w:rStyle w:val="EndnoteReference"/>
          <w:rFonts w:ascii="Times New Roman" w:hAnsi="Times New Roman" w:cs="Times New Roman"/>
        </w:rPr>
        <w:endnoteReference w:id="67"/>
      </w:r>
      <w:r w:rsidR="00AD1345" w:rsidRPr="008C694C">
        <w:rPr>
          <w:rFonts w:ascii="Times New Roman" w:hAnsi="Times New Roman" w:cs="Times New Roman"/>
        </w:rPr>
        <w:t xml:space="preserve"> The CDA should not keep rogue actors like </w:t>
      </w:r>
      <w:proofErr w:type="spellStart"/>
      <w:r w:rsidR="00AD1345" w:rsidRPr="008C694C">
        <w:rPr>
          <w:rFonts w:ascii="Times New Roman" w:hAnsi="Times New Roman" w:cs="Times New Roman"/>
        </w:rPr>
        <w:t>Backpage</w:t>
      </w:r>
      <w:proofErr w:type="spellEnd"/>
      <w:r w:rsidR="00AD1345" w:rsidRPr="008C694C">
        <w:rPr>
          <w:rFonts w:ascii="Times New Roman" w:hAnsi="Times New Roman" w:cs="Times New Roman"/>
        </w:rPr>
        <w:t xml:space="preserve"> free from liability when</w:t>
      </w:r>
      <w:r w:rsidR="004A556B" w:rsidRPr="008C694C">
        <w:rPr>
          <w:rFonts w:ascii="Times New Roman" w:hAnsi="Times New Roman" w:cs="Times New Roman"/>
        </w:rPr>
        <w:t xml:space="preserve"> they deliberately craft their businesses to profit off the illegal acts of others on their websites</w:t>
      </w:r>
      <w:r w:rsidR="00AD1345" w:rsidRPr="008C694C">
        <w:rPr>
          <w:rFonts w:ascii="Times New Roman" w:hAnsi="Times New Roman" w:cs="Times New Roman"/>
        </w:rPr>
        <w:t xml:space="preserve">. </w:t>
      </w:r>
      <w:r w:rsidR="004A556B" w:rsidRPr="008C694C">
        <w:rPr>
          <w:rFonts w:ascii="Times New Roman" w:hAnsi="Times New Roman" w:cs="Times New Roman"/>
        </w:rPr>
        <w:t xml:space="preserve">Courts must interpret the CDA to permit suits against </w:t>
      </w:r>
      <w:proofErr w:type="spellStart"/>
      <w:r w:rsidR="004A556B" w:rsidRPr="008C694C">
        <w:rPr>
          <w:rFonts w:ascii="Times New Roman" w:hAnsi="Times New Roman" w:cs="Times New Roman"/>
        </w:rPr>
        <w:t>Backpage</w:t>
      </w:r>
      <w:proofErr w:type="spellEnd"/>
      <w:r w:rsidR="004A556B" w:rsidRPr="008C694C">
        <w:rPr>
          <w:rFonts w:ascii="Times New Roman" w:hAnsi="Times New Roman" w:cs="Times New Roman"/>
        </w:rPr>
        <w:t xml:space="preserve"> so that </w:t>
      </w:r>
      <w:r w:rsidR="00DE64A0" w:rsidRPr="008C694C">
        <w:rPr>
          <w:rFonts w:ascii="Times New Roman" w:hAnsi="Times New Roman" w:cs="Times New Roman"/>
        </w:rPr>
        <w:t xml:space="preserve">trafficking </w:t>
      </w:r>
      <w:r w:rsidR="004A556B" w:rsidRPr="008C694C">
        <w:rPr>
          <w:rFonts w:ascii="Times New Roman" w:hAnsi="Times New Roman" w:cs="Times New Roman"/>
        </w:rPr>
        <w:t xml:space="preserve">victims can </w:t>
      </w:r>
      <w:r w:rsidR="00221C7C" w:rsidRPr="008C694C">
        <w:rPr>
          <w:rFonts w:ascii="Times New Roman" w:hAnsi="Times New Roman" w:cs="Times New Roman"/>
        </w:rPr>
        <w:t xml:space="preserve">have </w:t>
      </w:r>
      <w:r w:rsidR="004A556B" w:rsidRPr="008C694C">
        <w:rPr>
          <w:rFonts w:ascii="Times New Roman" w:hAnsi="Times New Roman" w:cs="Times New Roman"/>
        </w:rPr>
        <w:t>their day in court and have a chance to see</w:t>
      </w:r>
      <w:r w:rsidR="00221C7C" w:rsidRPr="008C694C">
        <w:rPr>
          <w:rFonts w:ascii="Times New Roman" w:hAnsi="Times New Roman" w:cs="Times New Roman"/>
        </w:rPr>
        <w:t>k</w:t>
      </w:r>
      <w:r w:rsidR="004A556B" w:rsidRPr="008C694C">
        <w:rPr>
          <w:rFonts w:ascii="Times New Roman" w:hAnsi="Times New Roman" w:cs="Times New Roman"/>
        </w:rPr>
        <w:t xml:space="preserve"> real </w:t>
      </w:r>
      <w:r w:rsidR="00221C7C" w:rsidRPr="008C694C">
        <w:rPr>
          <w:rFonts w:ascii="Times New Roman" w:hAnsi="Times New Roman" w:cs="Times New Roman"/>
        </w:rPr>
        <w:t xml:space="preserve">monetary </w:t>
      </w:r>
      <w:r w:rsidR="004A556B" w:rsidRPr="008C694C">
        <w:rPr>
          <w:rFonts w:ascii="Times New Roman" w:hAnsi="Times New Roman" w:cs="Times New Roman"/>
        </w:rPr>
        <w:t xml:space="preserve">damages for the horror of the victimization that </w:t>
      </w:r>
      <w:proofErr w:type="spellStart"/>
      <w:r w:rsidR="004A556B" w:rsidRPr="008C694C">
        <w:rPr>
          <w:rFonts w:ascii="Times New Roman" w:hAnsi="Times New Roman" w:cs="Times New Roman"/>
        </w:rPr>
        <w:t>Backpage</w:t>
      </w:r>
      <w:proofErr w:type="spellEnd"/>
      <w:r w:rsidR="004A556B" w:rsidRPr="008C694C">
        <w:rPr>
          <w:rFonts w:ascii="Times New Roman" w:hAnsi="Times New Roman" w:cs="Times New Roman"/>
        </w:rPr>
        <w:t xml:space="preserve"> had a direct and deliberate role in perpetuating.</w:t>
      </w:r>
    </w:p>
    <w:p w14:paraId="467C5F2D" w14:textId="03457E7B" w:rsidR="004B6FF3" w:rsidRPr="008C694C" w:rsidRDefault="004B6FF3" w:rsidP="00CD6573">
      <w:pPr>
        <w:rPr>
          <w:rFonts w:ascii="Times New Roman" w:hAnsi="Times New Roman" w:cs="Times New Roman"/>
        </w:rPr>
      </w:pPr>
    </w:p>
    <w:sectPr w:rsidR="004B6FF3" w:rsidRPr="008C694C" w:rsidSect="008C694C">
      <w:footerReference w:type="even" r:id="rId8"/>
      <w:footerReference w:type="default" r:id="rId9"/>
      <w:headerReference w:type="first" r:id="rId10"/>
      <w:footerReference w:type="first" r:id="rId11"/>
      <w:footnotePr>
        <w:pos w:val="beneathText"/>
      </w:footnotePr>
      <w:endnotePr>
        <w:numFmt w:val="decimal"/>
      </w:endnotePr>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6C7F98" w14:textId="77777777" w:rsidR="0055307B" w:rsidRDefault="0055307B" w:rsidP="006B5274">
      <w:r>
        <w:separator/>
      </w:r>
    </w:p>
  </w:endnote>
  <w:endnote w:type="continuationSeparator" w:id="0">
    <w:p w14:paraId="2B835A7E" w14:textId="77777777" w:rsidR="0055307B" w:rsidRDefault="0055307B" w:rsidP="006B5274">
      <w:r>
        <w:continuationSeparator/>
      </w:r>
    </w:p>
  </w:endnote>
  <w:endnote w:id="1">
    <w:p w14:paraId="367BE3BD" w14:textId="3E0E0F97"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Jane Doe 1 et al. v. Backpage.com</w:t>
      </w:r>
      <w:r w:rsidRPr="000B24E9">
        <w:rPr>
          <w:sz w:val="20"/>
          <w:szCs w:val="20"/>
        </w:rPr>
        <w:t>, No-14-13870, 2015 U.S. Dist. LEXIS 63889, at *7 (D. Mass. May 15, 2015).</w:t>
      </w:r>
    </w:p>
  </w:endnote>
  <w:endnote w:id="2">
    <w:p w14:paraId="423D0ECC" w14:textId="327B5A9B" w:rsidR="0055307B" w:rsidRDefault="0055307B">
      <w:pPr>
        <w:pStyle w:val="EndnoteText"/>
      </w:pPr>
      <w:r>
        <w:rPr>
          <w:rStyle w:val="EndnoteReference"/>
        </w:rPr>
        <w:endnoteRef/>
      </w:r>
      <w:r>
        <w:t xml:space="preserve"> </w:t>
      </w:r>
      <w:proofErr w:type="gramStart"/>
      <w:r>
        <w:rPr>
          <w:sz w:val="20"/>
          <w:szCs w:val="20"/>
        </w:rPr>
        <w:t>47 U.S.C. §§ 223, 230.</w:t>
      </w:r>
      <w:proofErr w:type="gramEnd"/>
    </w:p>
  </w:endnote>
  <w:endnote w:id="3">
    <w:p w14:paraId="424B8750" w14:textId="2B3A7705"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Brief of </w:t>
      </w:r>
      <w:r w:rsidRPr="000B24E9">
        <w:rPr>
          <w:i/>
          <w:sz w:val="20"/>
          <w:szCs w:val="20"/>
        </w:rPr>
        <w:t>Amici Curiae</w:t>
      </w:r>
      <w:r w:rsidRPr="000B24E9">
        <w:rPr>
          <w:sz w:val="20"/>
          <w:szCs w:val="20"/>
        </w:rPr>
        <w:t xml:space="preserve">: Covenant House, et al. at 17, </w:t>
      </w:r>
      <w:r w:rsidRPr="000B24E9">
        <w:rPr>
          <w:i/>
          <w:sz w:val="20"/>
          <w:szCs w:val="20"/>
        </w:rPr>
        <w:t>Jane Doe No. 1 et al. v. Backpage.com</w:t>
      </w:r>
      <w:r w:rsidRPr="000B24E9">
        <w:rPr>
          <w:sz w:val="20"/>
          <w:szCs w:val="20"/>
        </w:rPr>
        <w:t xml:space="preserve">, No. 15-1724 (1st Cir. </w:t>
      </w:r>
      <w:proofErr w:type="gramStart"/>
      <w:r w:rsidRPr="000B24E9">
        <w:rPr>
          <w:sz w:val="20"/>
          <w:szCs w:val="20"/>
        </w:rPr>
        <w:t>Oct. 5, 2015), EC, F No. 29.</w:t>
      </w:r>
      <w:proofErr w:type="gramEnd"/>
    </w:p>
  </w:endnote>
  <w:endnote w:id="4">
    <w:p w14:paraId="17D8C713" w14:textId="2D2E64B7"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sz w:val="20"/>
          <w:szCs w:val="20"/>
        </w:rPr>
        <w:t>Letter from National Association of Attorneys General to Samuel Fifer, Counsel for Backpage.com (Aug. 31, 2011), available at http://www.naag.org/assets/files/pdf/signons/Backpage%20WG%20Letter%20Aug%202011Final.pdf.</w:t>
      </w:r>
      <w:proofErr w:type="gramEnd"/>
    </w:p>
  </w:endnote>
  <w:endnote w:id="5">
    <w:p w14:paraId="194F228C" w14:textId="505BBFA7"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In July 2015, Visa and MasterCard began declining to process payments for Backpage.com ads. Robin </w:t>
      </w:r>
      <w:proofErr w:type="spellStart"/>
      <w:r w:rsidRPr="000B24E9">
        <w:rPr>
          <w:sz w:val="20"/>
          <w:szCs w:val="20"/>
        </w:rPr>
        <w:t>Sidell</w:t>
      </w:r>
      <w:proofErr w:type="spellEnd"/>
      <w:r w:rsidRPr="000B24E9">
        <w:rPr>
          <w:sz w:val="20"/>
          <w:szCs w:val="20"/>
        </w:rPr>
        <w:t xml:space="preserve"> &amp; Mark Peters, </w:t>
      </w:r>
      <w:r w:rsidRPr="000B24E9">
        <w:rPr>
          <w:i/>
          <w:sz w:val="20"/>
          <w:szCs w:val="20"/>
        </w:rPr>
        <w:t>MasterCard Stops Processing Purchases of Ads on Backpage.com</w:t>
      </w:r>
      <w:r w:rsidRPr="000B24E9">
        <w:rPr>
          <w:sz w:val="20"/>
          <w:szCs w:val="20"/>
        </w:rPr>
        <w:t xml:space="preserve">, Wall Street Journal (June 30, 2015), available at http://www.wsj.com/articles/mastercard-stops-processing-purchases-of-ads-on-backpage-com-1435701660. The credit card companies began declining these payments after they received a letter from Sheriff Thomas Dart of Cook County, Illinois, requesting that the companies cease allowing payments due to </w:t>
      </w:r>
      <w:proofErr w:type="spellStart"/>
      <w:r w:rsidRPr="000B24E9">
        <w:rPr>
          <w:sz w:val="20"/>
          <w:szCs w:val="20"/>
        </w:rPr>
        <w:t>Backpage’s</w:t>
      </w:r>
      <w:proofErr w:type="spellEnd"/>
      <w:r w:rsidRPr="000B24E9">
        <w:rPr>
          <w:sz w:val="20"/>
          <w:szCs w:val="20"/>
        </w:rPr>
        <w:t xml:space="preserve"> facilitation of sex trafficking. </w:t>
      </w:r>
      <w:r w:rsidRPr="000B24E9">
        <w:rPr>
          <w:i/>
          <w:sz w:val="20"/>
          <w:szCs w:val="20"/>
        </w:rPr>
        <w:t>Id.</w:t>
      </w:r>
      <w:r w:rsidRPr="000B24E9">
        <w:rPr>
          <w:sz w:val="20"/>
          <w:szCs w:val="20"/>
        </w:rPr>
        <w:t xml:space="preserve"> </w:t>
      </w:r>
      <w:proofErr w:type="spellStart"/>
      <w:r w:rsidRPr="000B24E9">
        <w:rPr>
          <w:sz w:val="20"/>
          <w:szCs w:val="20"/>
        </w:rPr>
        <w:t>Backpage</w:t>
      </w:r>
      <w:proofErr w:type="spellEnd"/>
      <w:r w:rsidRPr="000B24E9">
        <w:rPr>
          <w:sz w:val="20"/>
          <w:szCs w:val="20"/>
        </w:rPr>
        <w:t xml:space="preserve"> subsequently filed suit in the Northern District of Illinois, asking the court to enjoin Sheriff Dart from continuing to attempt to “defund” </w:t>
      </w:r>
      <w:proofErr w:type="spellStart"/>
      <w:r w:rsidRPr="000B24E9">
        <w:rPr>
          <w:sz w:val="20"/>
          <w:szCs w:val="20"/>
        </w:rPr>
        <w:t>Backpage</w:t>
      </w:r>
      <w:proofErr w:type="spellEnd"/>
      <w:r w:rsidRPr="000B24E9">
        <w:rPr>
          <w:sz w:val="20"/>
          <w:szCs w:val="20"/>
        </w:rPr>
        <w:t xml:space="preserve"> and requiring him to retract his letters to Visa and MasterCard, informing them of any court decision that rendered his letters illegal. </w:t>
      </w:r>
      <w:r w:rsidRPr="000B24E9">
        <w:rPr>
          <w:i/>
          <w:sz w:val="20"/>
          <w:szCs w:val="20"/>
        </w:rPr>
        <w:t>Backpage.com v. Dart</w:t>
      </w:r>
      <w:r w:rsidRPr="000B24E9">
        <w:rPr>
          <w:sz w:val="20"/>
          <w:szCs w:val="20"/>
        </w:rPr>
        <w:t xml:space="preserve">, No. 15-6340, 2015 U.S. Dist. LEXIS 122211 at *5 (N.D. Ill. Jul. 24, 2015). The court denied </w:t>
      </w:r>
      <w:proofErr w:type="spellStart"/>
      <w:r w:rsidRPr="000B24E9">
        <w:rPr>
          <w:sz w:val="20"/>
          <w:szCs w:val="20"/>
        </w:rPr>
        <w:t>Backpage’s</w:t>
      </w:r>
      <w:proofErr w:type="spellEnd"/>
      <w:r w:rsidRPr="000B24E9">
        <w:rPr>
          <w:sz w:val="20"/>
          <w:szCs w:val="20"/>
        </w:rPr>
        <w:t xml:space="preserve"> motion for a preliminary injunction, but on November 30, 2015, the Seventh Circuit reversed, holding that Sheriff Dart’s letter violated the First Amendment. </w:t>
      </w:r>
      <w:r w:rsidRPr="000B24E9">
        <w:rPr>
          <w:i/>
          <w:sz w:val="20"/>
          <w:szCs w:val="20"/>
        </w:rPr>
        <w:t>Backpage.com v. Dart</w:t>
      </w:r>
      <w:r w:rsidRPr="000B24E9">
        <w:rPr>
          <w:sz w:val="20"/>
          <w:szCs w:val="20"/>
        </w:rPr>
        <w:t xml:space="preserve">, No. 15-6340, 2015 U.S. Dist. LEXIS 116625, at *1-2 (N.D. Ill. Sept. 2, 2015), </w:t>
      </w:r>
      <w:proofErr w:type="spellStart"/>
      <w:r w:rsidRPr="000B24E9">
        <w:rPr>
          <w:i/>
          <w:sz w:val="20"/>
          <w:szCs w:val="20"/>
        </w:rPr>
        <w:t>rev’d</w:t>
      </w:r>
      <w:proofErr w:type="spellEnd"/>
      <w:r w:rsidRPr="000B24E9">
        <w:rPr>
          <w:sz w:val="20"/>
          <w:szCs w:val="20"/>
        </w:rPr>
        <w:t xml:space="preserve">, </w:t>
      </w:r>
      <w:r w:rsidRPr="000B24E9">
        <w:rPr>
          <w:i/>
          <w:sz w:val="20"/>
          <w:szCs w:val="20"/>
        </w:rPr>
        <w:t>Backpage.com v. Dart</w:t>
      </w:r>
      <w:r w:rsidRPr="000B24E9">
        <w:rPr>
          <w:sz w:val="20"/>
          <w:szCs w:val="20"/>
        </w:rPr>
        <w:t xml:space="preserve">, No. 15-3047, 2015 U.S. App. LEXIS 20728 at * 26-27 (1st Cir. </w:t>
      </w:r>
      <w:proofErr w:type="gramStart"/>
      <w:r w:rsidRPr="000B24E9">
        <w:rPr>
          <w:sz w:val="20"/>
          <w:szCs w:val="20"/>
        </w:rPr>
        <w:t>Nov. 30, 2015).</w:t>
      </w:r>
      <w:proofErr w:type="gramEnd"/>
      <w:r w:rsidRPr="000B24E9">
        <w:rPr>
          <w:sz w:val="20"/>
          <w:szCs w:val="20"/>
        </w:rPr>
        <w:t xml:space="preserve"> It is unclear if Visa and MasterCard will now permit payments for </w:t>
      </w:r>
      <w:proofErr w:type="spellStart"/>
      <w:r w:rsidRPr="000B24E9">
        <w:rPr>
          <w:sz w:val="20"/>
          <w:szCs w:val="20"/>
        </w:rPr>
        <w:t>Backpage</w:t>
      </w:r>
      <w:proofErr w:type="spellEnd"/>
      <w:r w:rsidRPr="000B24E9">
        <w:rPr>
          <w:sz w:val="20"/>
          <w:szCs w:val="20"/>
        </w:rPr>
        <w:t xml:space="preserve"> ads in the aftermath of the Seventh Circuit’s decision.</w:t>
      </w:r>
    </w:p>
  </w:endnote>
  <w:endnote w:id="6">
    <w:p w14:paraId="22903872" w14:textId="0C7A16F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AG Letter, </w:t>
      </w:r>
      <w:r w:rsidRPr="000B24E9">
        <w:rPr>
          <w:i/>
          <w:sz w:val="20"/>
          <w:szCs w:val="20"/>
        </w:rPr>
        <w:t>supra</w:t>
      </w:r>
      <w:r w:rsidRPr="000B24E9">
        <w:rPr>
          <w:sz w:val="20"/>
          <w:szCs w:val="20"/>
        </w:rPr>
        <w:t xml:space="preserve"> note 2, at 1 (“[State attorneys general] have tracked more than 50 instances, in 22 states over three years, of charges filed against those trafficking or attempting to traffic minors on Backpage.com”); Sentencing Memorandum, </w:t>
      </w:r>
      <w:r w:rsidRPr="000B24E9">
        <w:rPr>
          <w:i/>
          <w:sz w:val="20"/>
          <w:szCs w:val="20"/>
        </w:rPr>
        <w:t>USA v. Abernathy</w:t>
      </w:r>
      <w:r w:rsidRPr="000B24E9">
        <w:rPr>
          <w:sz w:val="20"/>
          <w:szCs w:val="20"/>
        </w:rPr>
        <w:t xml:space="preserve">, No.14-009 (W.D. Pa. Dec. 30, 2014), ECF No. 80; Sentencing Memorandum, </w:t>
      </w:r>
      <w:r w:rsidRPr="000B24E9">
        <w:rPr>
          <w:i/>
          <w:sz w:val="20"/>
          <w:szCs w:val="20"/>
        </w:rPr>
        <w:t>USA v. McIntyre</w:t>
      </w:r>
      <w:r w:rsidRPr="000B24E9">
        <w:rPr>
          <w:sz w:val="20"/>
          <w:szCs w:val="20"/>
        </w:rPr>
        <w:t xml:space="preserve">, No. 13-361 (E.D. Pa. Jul. 16, 2014), ECF No. 98; Sentencing Memorandum, </w:t>
      </w:r>
      <w:r w:rsidRPr="000B24E9">
        <w:rPr>
          <w:i/>
          <w:sz w:val="20"/>
          <w:szCs w:val="20"/>
        </w:rPr>
        <w:t>USA v. Johnson</w:t>
      </w:r>
      <w:r w:rsidRPr="000B24E9">
        <w:rPr>
          <w:sz w:val="20"/>
          <w:szCs w:val="20"/>
        </w:rPr>
        <w:t>, No. 12-571 (E.D. Pa. Sept. 30, 2013), ECF No. 34.</w:t>
      </w:r>
    </w:p>
  </w:endnote>
  <w:endnote w:id="7">
    <w:p w14:paraId="517FE5D9" w14:textId="77777777" w:rsidR="0055307B" w:rsidRPr="000B24E9" w:rsidRDefault="0055307B" w:rsidP="00357D47">
      <w:pPr>
        <w:pStyle w:val="EndnoteText"/>
        <w:rPr>
          <w:sz w:val="20"/>
          <w:szCs w:val="20"/>
        </w:rPr>
      </w:pPr>
      <w:r w:rsidRPr="000B24E9">
        <w:rPr>
          <w:rStyle w:val="EndnoteReference"/>
          <w:sz w:val="20"/>
          <w:szCs w:val="20"/>
        </w:rPr>
        <w:endnoteRef/>
      </w:r>
      <w:r w:rsidRPr="000B24E9">
        <w:rPr>
          <w:sz w:val="20"/>
          <w:szCs w:val="20"/>
        </w:rPr>
        <w:t xml:space="preserve"> AG Letter, </w:t>
      </w:r>
      <w:r w:rsidRPr="000B24E9">
        <w:rPr>
          <w:i/>
          <w:sz w:val="20"/>
          <w:szCs w:val="20"/>
        </w:rPr>
        <w:t>supra</w:t>
      </w:r>
      <w:r w:rsidRPr="000B24E9">
        <w:rPr>
          <w:sz w:val="20"/>
          <w:szCs w:val="20"/>
        </w:rPr>
        <w:t xml:space="preserve"> note 2, at 2 (“In a meeting with the Washington State Attorney General’s Office, Backpage.com Vice President Carl </w:t>
      </w:r>
      <w:proofErr w:type="spellStart"/>
      <w:r w:rsidRPr="000B24E9">
        <w:rPr>
          <w:sz w:val="20"/>
          <w:szCs w:val="20"/>
        </w:rPr>
        <w:t>Ferrer</w:t>
      </w:r>
      <w:proofErr w:type="spellEnd"/>
      <w:r w:rsidRPr="000B24E9">
        <w:rPr>
          <w:sz w:val="20"/>
          <w:szCs w:val="20"/>
        </w:rPr>
        <w:t xml:space="preserve"> acknowledged that the company identifies more than 400 “adult services” posts every month that involve minors.”)</w:t>
      </w:r>
    </w:p>
  </w:endnote>
  <w:endnote w:id="8">
    <w:p w14:paraId="7F999DB9" w14:textId="77777777" w:rsidR="0055307B" w:rsidRPr="000B24E9" w:rsidRDefault="0055307B" w:rsidP="00562113">
      <w:pPr>
        <w:pStyle w:val="EndnoteText"/>
        <w:rPr>
          <w:sz w:val="20"/>
          <w:szCs w:val="20"/>
        </w:rPr>
      </w:pPr>
      <w:r w:rsidRPr="000B24E9">
        <w:rPr>
          <w:rStyle w:val="EndnoteReference"/>
          <w:sz w:val="20"/>
          <w:szCs w:val="20"/>
        </w:rPr>
        <w:endnoteRef/>
      </w:r>
      <w:r w:rsidRPr="000B24E9">
        <w:rPr>
          <w:sz w:val="20"/>
          <w:szCs w:val="20"/>
        </w:rPr>
        <w:t xml:space="preserve"> AG Letter, </w:t>
      </w:r>
      <w:r w:rsidRPr="000B24E9">
        <w:rPr>
          <w:i/>
          <w:sz w:val="20"/>
          <w:szCs w:val="20"/>
        </w:rPr>
        <w:t>supra</w:t>
      </w:r>
      <w:r w:rsidRPr="000B24E9">
        <w:rPr>
          <w:sz w:val="20"/>
          <w:szCs w:val="20"/>
        </w:rPr>
        <w:t xml:space="preserve"> note 2, at 3.</w:t>
      </w:r>
    </w:p>
  </w:endnote>
  <w:endnote w:id="9">
    <w:p w14:paraId="6A354E0D" w14:textId="536F4D55"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spellStart"/>
      <w:r w:rsidRPr="000B24E9">
        <w:rPr>
          <w:sz w:val="20"/>
          <w:szCs w:val="20"/>
        </w:rPr>
        <w:t>Yiota</w:t>
      </w:r>
      <w:proofErr w:type="spellEnd"/>
      <w:r w:rsidRPr="000B24E9">
        <w:rPr>
          <w:sz w:val="20"/>
          <w:szCs w:val="20"/>
        </w:rPr>
        <w:t xml:space="preserve"> </w:t>
      </w:r>
      <w:proofErr w:type="spellStart"/>
      <w:r w:rsidRPr="000B24E9">
        <w:rPr>
          <w:sz w:val="20"/>
          <w:szCs w:val="20"/>
        </w:rPr>
        <w:t>Souras</w:t>
      </w:r>
      <w:proofErr w:type="spellEnd"/>
      <w:r w:rsidRPr="000B24E9">
        <w:rPr>
          <w:sz w:val="20"/>
          <w:szCs w:val="20"/>
        </w:rPr>
        <w:t>, National Center for Missing and Exploited Children, Human Trafficking Investigation Hearing Testimony before the U.S. Senate’s Committee Homeland Security and Governmental Affairs, p. 7 (Nov. 19, 2015).</w:t>
      </w:r>
    </w:p>
  </w:endnote>
  <w:endnote w:id="10">
    <w:p w14:paraId="79B5521D" w14:textId="72D2E957"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AG Letter, </w:t>
      </w:r>
      <w:r w:rsidRPr="000B24E9">
        <w:rPr>
          <w:i/>
          <w:sz w:val="20"/>
          <w:szCs w:val="20"/>
        </w:rPr>
        <w:t>supra</w:t>
      </w:r>
      <w:r w:rsidRPr="000B24E9">
        <w:rPr>
          <w:sz w:val="20"/>
          <w:szCs w:val="20"/>
        </w:rPr>
        <w:t xml:space="preserve"> note 2, at 3.</w:t>
      </w:r>
    </w:p>
  </w:endnote>
  <w:endnote w:id="11">
    <w:p w14:paraId="7CF7009B" w14:textId="6791A5EC"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Judge Herbert Dixon, </w:t>
      </w:r>
      <w:r w:rsidRPr="000B24E9">
        <w:rPr>
          <w:i/>
          <w:sz w:val="20"/>
          <w:szCs w:val="20"/>
        </w:rPr>
        <w:t>Human Trafficking and the Internet</w:t>
      </w:r>
      <w:r w:rsidRPr="000B24E9">
        <w:rPr>
          <w:sz w:val="20"/>
          <w:szCs w:val="20"/>
        </w:rPr>
        <w:t>, 52 The Judge’s Journal 1, available at http://www.americanbar.org/publications/judges_journal/2013/winter/human_trafficking_and_internet_and_other_technologies_too.html.</w:t>
      </w:r>
    </w:p>
  </w:endnote>
  <w:endnote w:id="12">
    <w:p w14:paraId="4ECF2972" w14:textId="40F8670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Sentencing Memorandum, </w:t>
      </w:r>
      <w:r w:rsidRPr="000B24E9">
        <w:rPr>
          <w:i/>
          <w:sz w:val="20"/>
          <w:szCs w:val="20"/>
        </w:rPr>
        <w:t>USA v. McIntyre</w:t>
      </w:r>
      <w:r w:rsidRPr="000B24E9">
        <w:rPr>
          <w:sz w:val="20"/>
          <w:szCs w:val="20"/>
        </w:rPr>
        <w:t xml:space="preserve">, No. 12-675 (E.D. Pa. Oct. 21, 2013), ECF No. 32; Jeremy Roebuck, </w:t>
      </w:r>
      <w:r w:rsidRPr="000B24E9">
        <w:rPr>
          <w:i/>
          <w:sz w:val="20"/>
          <w:szCs w:val="20"/>
        </w:rPr>
        <w:t>Pimp sentenced to 21 years in prison</w:t>
      </w:r>
      <w:r w:rsidRPr="000B24E9">
        <w:rPr>
          <w:sz w:val="20"/>
          <w:szCs w:val="20"/>
        </w:rPr>
        <w:t>, Philadelphia Inquirer (Aug. 20, 2014), available at http://articles.philly.com/2014-08-20/news/52988629_1_bartle-lawrence-bozzelli-young-women.</w:t>
      </w:r>
    </w:p>
  </w:endnote>
  <w:endnote w:id="13">
    <w:p w14:paraId="0D4EC462" w14:textId="750816E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Congress recently passed the Justice for Victims of Trafficking Act of 2015, which incentivizes local law enforcement to create anti-sex trafficking task forces, expands law enforcement tools for localities that do have task forces, and creates a funding stream for victim services. Justice for Victims of Trafficking Act of 2015, S. 58, 114th Congress (2015).</w:t>
      </w:r>
    </w:p>
  </w:endnote>
  <w:endnote w:id="14">
    <w:p w14:paraId="1FD8E95F" w14:textId="77777777" w:rsidR="0055307B" w:rsidRPr="000B24E9" w:rsidRDefault="0055307B" w:rsidP="00357D47">
      <w:pPr>
        <w:pStyle w:val="EndnoteText"/>
        <w:rPr>
          <w:sz w:val="20"/>
          <w:szCs w:val="20"/>
        </w:rPr>
      </w:pPr>
      <w:r w:rsidRPr="000B24E9">
        <w:rPr>
          <w:rStyle w:val="EndnoteReference"/>
          <w:sz w:val="20"/>
          <w:szCs w:val="20"/>
        </w:rPr>
        <w:endnoteRef/>
      </w:r>
      <w:r w:rsidRPr="000B24E9">
        <w:rPr>
          <w:sz w:val="20"/>
          <w:szCs w:val="20"/>
        </w:rPr>
        <w:t xml:space="preserve"> Since the federal anti-trafficking law, The Trafficking Victims Protection Act, was reauthorized in 2003 to include a civil remedy, 152 cases have been brought under the civil provision. Of those 152 cases, </w:t>
      </w:r>
      <w:proofErr w:type="gramStart"/>
      <w:r w:rsidRPr="000B24E9">
        <w:rPr>
          <w:sz w:val="20"/>
          <w:szCs w:val="20"/>
        </w:rPr>
        <w:t>only 11 were brought by sex trafficking victims</w:t>
      </w:r>
      <w:proofErr w:type="gramEnd"/>
      <w:r w:rsidRPr="000B24E9">
        <w:rPr>
          <w:sz w:val="20"/>
          <w:szCs w:val="20"/>
        </w:rPr>
        <w:t xml:space="preserve">. Martina Vandenberg, </w:t>
      </w:r>
      <w:r w:rsidRPr="000B24E9">
        <w:rPr>
          <w:i/>
          <w:sz w:val="20"/>
          <w:szCs w:val="20"/>
        </w:rPr>
        <w:t>Ending impunity, securing justice</w:t>
      </w:r>
      <w:r w:rsidRPr="000B24E9">
        <w:rPr>
          <w:sz w:val="20"/>
          <w:szCs w:val="20"/>
        </w:rPr>
        <w:t>, The Human Trafficking Pro Bono Legal Center &amp; The Freedom Fund, p. 13 (2015), available at http://www.htprobono.org/wp-content/uploads/2015/12/FF_SL_AW02_WEB.pdf</w:t>
      </w:r>
    </w:p>
  </w:endnote>
  <w:endnote w:id="15">
    <w:p w14:paraId="5DDD6FAE" w14:textId="4416E58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18 U.S.C. § 1595 (“An individual who is a victim of a violation of [the federal anti-trafficking law] may bring a civil action against the perpetrator...”); 18 Pa. C.S. 3051(a)(1) (“An individual who is a victim of human trafficking may bring a civil action against any person that participated in the human trafficking...”).</w:t>
      </w:r>
    </w:p>
  </w:endnote>
  <w:endnote w:id="16">
    <w:p w14:paraId="19209F99" w14:textId="1BBB1DD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Ashley </w:t>
      </w:r>
      <w:proofErr w:type="spellStart"/>
      <w:r w:rsidRPr="000B24E9">
        <w:rPr>
          <w:sz w:val="20"/>
          <w:szCs w:val="20"/>
        </w:rPr>
        <w:t>Lynam</w:t>
      </w:r>
      <w:proofErr w:type="spellEnd"/>
      <w:r w:rsidRPr="000B24E9">
        <w:rPr>
          <w:sz w:val="20"/>
          <w:szCs w:val="20"/>
        </w:rPr>
        <w:t xml:space="preserve">, </w:t>
      </w:r>
      <w:r w:rsidRPr="000B24E9">
        <w:rPr>
          <w:i/>
          <w:sz w:val="20"/>
          <w:szCs w:val="20"/>
        </w:rPr>
        <w:t>Act 105: The Most Robust Civil Remedy Against Sex Traffickers</w:t>
      </w:r>
      <w:r w:rsidRPr="000B24E9">
        <w:rPr>
          <w:sz w:val="20"/>
          <w:szCs w:val="20"/>
        </w:rPr>
        <w:t>, The Legal Intelligencer (Sept. 18, 2015), available at http://www.thelegalintelligencer.com/id=1202737510713/Act-105-The-Most-Robust-Civil-Remedy-Against-Sex-Traffickers</w:t>
      </w:r>
      <w:proofErr w:type="gramStart"/>
      <w:r w:rsidRPr="000B24E9">
        <w:rPr>
          <w:sz w:val="20"/>
          <w:szCs w:val="20"/>
        </w:rPr>
        <w:t>?slreturn</w:t>
      </w:r>
      <w:proofErr w:type="gramEnd"/>
      <w:r w:rsidRPr="000B24E9">
        <w:rPr>
          <w:sz w:val="20"/>
          <w:szCs w:val="20"/>
        </w:rPr>
        <w:t>=20151122203142</w:t>
      </w:r>
    </w:p>
  </w:endnote>
  <w:endnote w:id="17">
    <w:p w14:paraId="6BDFD308" w14:textId="51072112"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18 Pa. C.S. § 3051(2)(iii)</w:t>
      </w:r>
    </w:p>
  </w:endnote>
  <w:endnote w:id="18">
    <w:p w14:paraId="6B1C90B2" w14:textId="50CA9AE1"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See</w:t>
      </w:r>
      <w:r w:rsidRPr="000B24E9">
        <w:rPr>
          <w:sz w:val="20"/>
          <w:szCs w:val="20"/>
        </w:rPr>
        <w:t xml:space="preserve"> </w:t>
      </w:r>
      <w:r w:rsidRPr="000B24E9">
        <w:rPr>
          <w:i/>
          <w:sz w:val="20"/>
          <w:szCs w:val="20"/>
        </w:rPr>
        <w:t xml:space="preserve">J.S. </w:t>
      </w:r>
      <w:r>
        <w:rPr>
          <w:i/>
          <w:sz w:val="20"/>
          <w:szCs w:val="20"/>
        </w:rPr>
        <w:t xml:space="preserve">et al. </w:t>
      </w:r>
      <w:r w:rsidRPr="000B24E9">
        <w:rPr>
          <w:i/>
          <w:sz w:val="20"/>
          <w:szCs w:val="20"/>
        </w:rPr>
        <w:t>v. Village Voice</w:t>
      </w:r>
      <w:r w:rsidRPr="000B24E9">
        <w:rPr>
          <w:sz w:val="20"/>
          <w:szCs w:val="20"/>
        </w:rPr>
        <w:t xml:space="preserve">, 184 Wn.2d 96 (2015); </w:t>
      </w:r>
      <w:r w:rsidRPr="000B24E9">
        <w:rPr>
          <w:i/>
          <w:sz w:val="20"/>
          <w:szCs w:val="20"/>
        </w:rPr>
        <w:t>Jane Doe No. 1 v. Backpage.com</w:t>
      </w:r>
      <w:r w:rsidRPr="000B24E9">
        <w:rPr>
          <w:sz w:val="20"/>
          <w:szCs w:val="20"/>
        </w:rPr>
        <w:t>, No. 14-13870, 2015 U.S. Dist. LEXIS 63889 (D. Mass. May 15, 2015).</w:t>
      </w:r>
    </w:p>
  </w:endnote>
  <w:endnote w:id="19">
    <w:p w14:paraId="635F7859" w14:textId="77860C7B"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47 U.S.C. § 230(c)(1)</w:t>
      </w:r>
    </w:p>
  </w:endnote>
  <w:endnote w:id="20">
    <w:p w14:paraId="43C57D28" w14:textId="0DED3E8E" w:rsidR="0055307B"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spellStart"/>
      <w:r w:rsidRPr="000B24E9">
        <w:rPr>
          <w:i/>
          <w:sz w:val="20"/>
          <w:szCs w:val="20"/>
        </w:rPr>
        <w:t>Zeran</w:t>
      </w:r>
      <w:proofErr w:type="spellEnd"/>
      <w:r w:rsidRPr="000B24E9">
        <w:rPr>
          <w:i/>
          <w:sz w:val="20"/>
          <w:szCs w:val="20"/>
        </w:rPr>
        <w:t xml:space="preserve"> v. America Online</w:t>
      </w:r>
      <w:r w:rsidRPr="000B24E9">
        <w:rPr>
          <w:sz w:val="20"/>
          <w:szCs w:val="20"/>
        </w:rPr>
        <w:t xml:space="preserve">, 129 F.3d 327, 330-31 (4th Cir. 1997); </w:t>
      </w:r>
      <w:r w:rsidRPr="000B24E9">
        <w:rPr>
          <w:i/>
          <w:sz w:val="20"/>
          <w:szCs w:val="20"/>
        </w:rPr>
        <w:t>see also</w:t>
      </w:r>
      <w:r w:rsidRPr="000B24E9">
        <w:rPr>
          <w:sz w:val="20"/>
          <w:szCs w:val="20"/>
        </w:rPr>
        <w:t xml:space="preserve"> </w:t>
      </w:r>
      <w:r w:rsidRPr="000B24E9">
        <w:rPr>
          <w:i/>
          <w:sz w:val="20"/>
          <w:szCs w:val="20"/>
        </w:rPr>
        <w:t>Green v. America Online</w:t>
      </w:r>
      <w:r w:rsidRPr="000B24E9">
        <w:rPr>
          <w:sz w:val="20"/>
          <w:szCs w:val="20"/>
        </w:rPr>
        <w:t xml:space="preserve">, 318 F.3d 465, 470-41 (3d Cir. 2003); </w:t>
      </w:r>
      <w:proofErr w:type="spellStart"/>
      <w:r w:rsidRPr="000B24E9">
        <w:rPr>
          <w:i/>
          <w:sz w:val="20"/>
          <w:szCs w:val="20"/>
        </w:rPr>
        <w:t>Batzel</w:t>
      </w:r>
      <w:proofErr w:type="spellEnd"/>
      <w:r w:rsidRPr="000B24E9">
        <w:rPr>
          <w:i/>
          <w:sz w:val="20"/>
          <w:szCs w:val="20"/>
        </w:rPr>
        <w:t xml:space="preserve"> v. Smith</w:t>
      </w:r>
      <w:r w:rsidRPr="000B24E9">
        <w:rPr>
          <w:sz w:val="20"/>
          <w:szCs w:val="20"/>
        </w:rPr>
        <w:t xml:space="preserve">, 333 F.3d 1018, 1031 n.19 (9th Cir. 2003) (describing Section 230 as creating “a broad immunity”); </w:t>
      </w:r>
      <w:proofErr w:type="spellStart"/>
      <w:r w:rsidRPr="000B24E9">
        <w:rPr>
          <w:i/>
          <w:sz w:val="20"/>
          <w:szCs w:val="20"/>
        </w:rPr>
        <w:t>Carafano</w:t>
      </w:r>
      <w:proofErr w:type="spellEnd"/>
      <w:r w:rsidRPr="000B24E9">
        <w:rPr>
          <w:i/>
          <w:sz w:val="20"/>
          <w:szCs w:val="20"/>
        </w:rPr>
        <w:t xml:space="preserve"> v. Metrosplash.com</w:t>
      </w:r>
      <w:r w:rsidRPr="000B24E9">
        <w:rPr>
          <w:sz w:val="20"/>
          <w:szCs w:val="20"/>
        </w:rPr>
        <w:t xml:space="preserve">, 339 F.3d 1119, 1123-24 (9th Cir. 2003) (“Section 230 provides broad immunity” and “reviewing courts have treated Section 230 immunity as quite robust”); </w:t>
      </w:r>
      <w:r w:rsidRPr="000B24E9">
        <w:rPr>
          <w:i/>
          <w:sz w:val="20"/>
          <w:szCs w:val="20"/>
        </w:rPr>
        <w:t>Ben Ezra v. America Online</w:t>
      </w:r>
      <w:r w:rsidRPr="000B24E9">
        <w:rPr>
          <w:sz w:val="20"/>
          <w:szCs w:val="20"/>
        </w:rPr>
        <w:t>, 205 F.3d 980, 984-85 (10</w:t>
      </w:r>
      <w:r w:rsidRPr="000B24E9">
        <w:rPr>
          <w:sz w:val="20"/>
          <w:szCs w:val="20"/>
          <w:vertAlign w:val="superscript"/>
        </w:rPr>
        <w:t>th</w:t>
      </w:r>
      <w:r w:rsidRPr="000B24E9">
        <w:rPr>
          <w:sz w:val="20"/>
          <w:szCs w:val="20"/>
        </w:rPr>
        <w:t xml:space="preserve"> Cir. 2000) (“Section 230 creates a federal immunity to any state law cause of action that would hold computer service providers liable for information originating with a third party”).</w:t>
      </w:r>
    </w:p>
    <w:p w14:paraId="581DC7B7" w14:textId="77777777" w:rsidR="0055307B" w:rsidRDefault="0055307B">
      <w:pPr>
        <w:pStyle w:val="EndnoteText"/>
        <w:rPr>
          <w:sz w:val="20"/>
          <w:szCs w:val="20"/>
        </w:rPr>
      </w:pPr>
    </w:p>
    <w:p w14:paraId="09839645" w14:textId="0CFAF5BF" w:rsidR="0055307B" w:rsidRPr="000B24E9" w:rsidRDefault="0055307B">
      <w:pPr>
        <w:pStyle w:val="EndnoteText"/>
        <w:rPr>
          <w:sz w:val="20"/>
          <w:szCs w:val="20"/>
        </w:rPr>
      </w:pPr>
      <w:r>
        <w:rPr>
          <w:sz w:val="20"/>
          <w:szCs w:val="20"/>
        </w:rPr>
        <w:t xml:space="preserve">Section 230 does not provide immunity from federal criminal liability by its plain text. </w:t>
      </w:r>
      <w:proofErr w:type="gramStart"/>
      <w:r>
        <w:rPr>
          <w:sz w:val="20"/>
          <w:szCs w:val="20"/>
        </w:rPr>
        <w:t>47 U.S.C. § 230(e)(1).</w:t>
      </w:r>
      <w:proofErr w:type="gramEnd"/>
    </w:p>
  </w:endnote>
  <w:endnote w:id="21">
    <w:p w14:paraId="55D5A0B5" w14:textId="29798E8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Sophia Cope, </w:t>
      </w:r>
      <w:r w:rsidRPr="000B24E9">
        <w:rPr>
          <w:i/>
          <w:sz w:val="20"/>
          <w:szCs w:val="20"/>
        </w:rPr>
        <w:t>Court Ruling Against Backpage.com is a Setback for Online Speech in Washington State</w:t>
      </w:r>
      <w:r w:rsidRPr="000B24E9">
        <w:rPr>
          <w:sz w:val="20"/>
          <w:szCs w:val="20"/>
        </w:rPr>
        <w:t>, Electronic Frontier Foundation (Sept. 8, 2015), available at https://www.eff.org/deeplinks/2015/09/court-ruling-against-backpagecom-setback-online-speech-washington-state</w:t>
      </w:r>
    </w:p>
  </w:endnote>
  <w:endnote w:id="22">
    <w:p w14:paraId="66AB2695" w14:textId="2D860F9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23">
    <w:p w14:paraId="4BB54BA6" w14:textId="7A0AE732"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Barnes v. Yahoo</w:t>
      </w:r>
      <w:proofErr w:type="gramStart"/>
      <w:r w:rsidRPr="000B24E9">
        <w:rPr>
          <w:i/>
          <w:sz w:val="20"/>
          <w:szCs w:val="20"/>
        </w:rPr>
        <w:t>!</w:t>
      </w:r>
      <w:r w:rsidRPr="000B24E9">
        <w:rPr>
          <w:sz w:val="20"/>
          <w:szCs w:val="20"/>
        </w:rPr>
        <w:t>,</w:t>
      </w:r>
      <w:proofErr w:type="gramEnd"/>
      <w:r w:rsidRPr="000B24E9">
        <w:rPr>
          <w:sz w:val="20"/>
          <w:szCs w:val="20"/>
        </w:rPr>
        <w:t xml:space="preserve"> 570 F.3d 1096, 1100 (9th Cir. 2009); </w:t>
      </w:r>
      <w:r w:rsidRPr="000B24E9">
        <w:rPr>
          <w:i/>
          <w:sz w:val="20"/>
          <w:szCs w:val="20"/>
        </w:rPr>
        <w:t>see also</w:t>
      </w:r>
      <w:r w:rsidRPr="000B24E9">
        <w:rPr>
          <w:sz w:val="20"/>
          <w:szCs w:val="20"/>
        </w:rPr>
        <w:t xml:space="preserve"> </w:t>
      </w:r>
      <w:r w:rsidRPr="000B24E9">
        <w:rPr>
          <w:i/>
          <w:sz w:val="20"/>
          <w:szCs w:val="20"/>
        </w:rPr>
        <w:t xml:space="preserve">Fair </w:t>
      </w:r>
      <w:proofErr w:type="spellStart"/>
      <w:r w:rsidRPr="000B24E9">
        <w:rPr>
          <w:i/>
          <w:sz w:val="20"/>
          <w:szCs w:val="20"/>
        </w:rPr>
        <w:t>Hous</w:t>
      </w:r>
      <w:proofErr w:type="spellEnd"/>
      <w:r w:rsidRPr="000B24E9">
        <w:rPr>
          <w:i/>
          <w:sz w:val="20"/>
          <w:szCs w:val="20"/>
        </w:rPr>
        <w:t>. Council v. Roommates.com,</w:t>
      </w:r>
      <w:r w:rsidRPr="000B24E9">
        <w:rPr>
          <w:sz w:val="20"/>
          <w:szCs w:val="20"/>
        </w:rPr>
        <w:t xml:space="preserve"> 521 F.3d 1157 (9th Cir. 2008); </w:t>
      </w:r>
      <w:r w:rsidRPr="000B24E9">
        <w:rPr>
          <w:i/>
          <w:sz w:val="20"/>
          <w:szCs w:val="20"/>
        </w:rPr>
        <w:t xml:space="preserve">Chi. Lawyers Comm. for Civ. Rights v. </w:t>
      </w:r>
      <w:proofErr w:type="spellStart"/>
      <w:r w:rsidRPr="000B24E9">
        <w:rPr>
          <w:i/>
          <w:sz w:val="20"/>
          <w:szCs w:val="20"/>
        </w:rPr>
        <w:t>Craiglist</w:t>
      </w:r>
      <w:proofErr w:type="spellEnd"/>
      <w:r w:rsidRPr="000B24E9">
        <w:rPr>
          <w:i/>
          <w:sz w:val="20"/>
          <w:szCs w:val="20"/>
        </w:rPr>
        <w:t>, Inc.</w:t>
      </w:r>
      <w:r w:rsidRPr="000B24E9">
        <w:rPr>
          <w:sz w:val="20"/>
          <w:szCs w:val="20"/>
        </w:rPr>
        <w:t>, 519 F.3d 666 (7th Cir. 2008).</w:t>
      </w:r>
    </w:p>
  </w:endnote>
  <w:endnote w:id="24">
    <w:p w14:paraId="4ADE9FA1" w14:textId="60536307"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Barnes</w:t>
      </w:r>
      <w:r w:rsidRPr="000B24E9">
        <w:rPr>
          <w:sz w:val="20"/>
          <w:szCs w:val="20"/>
        </w:rPr>
        <w:t>, 570 F.3d at 1102.</w:t>
      </w:r>
      <w:proofErr w:type="gramEnd"/>
    </w:p>
  </w:endnote>
  <w:endnote w:id="25">
    <w:p w14:paraId="421950DB" w14:textId="4B719AFB"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1098.</w:t>
      </w:r>
      <w:proofErr w:type="gramEnd"/>
    </w:p>
  </w:endnote>
  <w:endnote w:id="26">
    <w:p w14:paraId="67CA695F" w14:textId="6D3954A8"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1099.</w:t>
      </w:r>
      <w:proofErr w:type="gramEnd"/>
    </w:p>
  </w:endnote>
  <w:endnote w:id="27">
    <w:p w14:paraId="0BD986D3" w14:textId="0F545956"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1109.</w:t>
      </w:r>
      <w:proofErr w:type="gramEnd"/>
    </w:p>
  </w:endnote>
  <w:endnote w:id="28">
    <w:p w14:paraId="297B6A0A" w14:textId="31F3E892"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1107.</w:t>
      </w:r>
      <w:proofErr w:type="gramEnd"/>
    </w:p>
  </w:endnote>
  <w:endnote w:id="29">
    <w:p w14:paraId="31C32DF6" w14:textId="752E08F2"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0">
    <w:p w14:paraId="2C59F6C4" w14:textId="39D7D52C"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See</w:t>
      </w:r>
      <w:r w:rsidRPr="000B24E9">
        <w:rPr>
          <w:sz w:val="20"/>
          <w:szCs w:val="20"/>
        </w:rPr>
        <w:t xml:space="preserve"> </w:t>
      </w:r>
      <w:r w:rsidRPr="000B24E9">
        <w:rPr>
          <w:i/>
          <w:sz w:val="20"/>
          <w:szCs w:val="20"/>
        </w:rPr>
        <w:t xml:space="preserve">Fair </w:t>
      </w:r>
      <w:proofErr w:type="spellStart"/>
      <w:r w:rsidRPr="000B24E9">
        <w:rPr>
          <w:i/>
          <w:sz w:val="20"/>
          <w:szCs w:val="20"/>
        </w:rPr>
        <w:t>Hous</w:t>
      </w:r>
      <w:proofErr w:type="spellEnd"/>
      <w:r w:rsidRPr="000B24E9">
        <w:rPr>
          <w:i/>
          <w:sz w:val="20"/>
          <w:szCs w:val="20"/>
        </w:rPr>
        <w:t>. Council v. Roommates.com,</w:t>
      </w:r>
      <w:r w:rsidRPr="000B24E9">
        <w:rPr>
          <w:sz w:val="20"/>
          <w:szCs w:val="20"/>
        </w:rPr>
        <w:t xml:space="preserve"> 521 F.3d 1157 (9th Cir. 2008); </w:t>
      </w:r>
      <w:r w:rsidRPr="000B24E9">
        <w:rPr>
          <w:i/>
          <w:sz w:val="20"/>
          <w:szCs w:val="20"/>
        </w:rPr>
        <w:t xml:space="preserve">Chi. Lawyers Comm. for Civ. Rights v. </w:t>
      </w:r>
      <w:proofErr w:type="spellStart"/>
      <w:r w:rsidRPr="000B24E9">
        <w:rPr>
          <w:i/>
          <w:sz w:val="20"/>
          <w:szCs w:val="20"/>
        </w:rPr>
        <w:t>Craiglist</w:t>
      </w:r>
      <w:proofErr w:type="spellEnd"/>
      <w:r w:rsidRPr="000B24E9">
        <w:rPr>
          <w:i/>
          <w:sz w:val="20"/>
          <w:szCs w:val="20"/>
        </w:rPr>
        <w:t>, Inc.</w:t>
      </w:r>
      <w:r w:rsidRPr="000B24E9">
        <w:rPr>
          <w:sz w:val="20"/>
          <w:szCs w:val="20"/>
        </w:rPr>
        <w:t>, 519 F.3d 666 (7th Cir. 2008).</w:t>
      </w:r>
    </w:p>
  </w:endnote>
  <w:endnote w:id="31">
    <w:p w14:paraId="0D47C704" w14:textId="0EF3FBC1"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Roommates</w:t>
      </w:r>
      <w:r w:rsidRPr="000B24E9">
        <w:rPr>
          <w:sz w:val="20"/>
          <w:szCs w:val="20"/>
        </w:rPr>
        <w:t>, 521 F.3d at 1162-63.</w:t>
      </w:r>
      <w:proofErr w:type="gramEnd"/>
    </w:p>
  </w:endnote>
  <w:endnote w:id="32">
    <w:p w14:paraId="386FFE8F" w14:textId="73A3C0B4"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3">
    <w:p w14:paraId="6126319F" w14:textId="6C24B565"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4">
    <w:p w14:paraId="70F78F41" w14:textId="574FD535"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5">
    <w:p w14:paraId="5C38976F" w14:textId="2CB3334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1161-62.</w:t>
      </w:r>
      <w:proofErr w:type="gramEnd"/>
    </w:p>
  </w:endnote>
  <w:endnote w:id="36">
    <w:p w14:paraId="5BFAF9CB" w14:textId="71C359F9"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7">
    <w:p w14:paraId="2E1D6788" w14:textId="00AC99A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8">
    <w:p w14:paraId="1823B651" w14:textId="788FC800"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39">
    <w:p w14:paraId="7F8C31E5" w14:textId="3EF89F8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1166.</w:t>
      </w:r>
      <w:proofErr w:type="gramEnd"/>
    </w:p>
  </w:endnote>
  <w:endnote w:id="40">
    <w:p w14:paraId="4653DBC7" w14:textId="630C3F2D"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1172.</w:t>
      </w:r>
      <w:proofErr w:type="gramEnd"/>
    </w:p>
  </w:endnote>
  <w:endnote w:id="41">
    <w:p w14:paraId="15C565F6" w14:textId="67E09256"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Id.</w:t>
      </w:r>
      <w:r w:rsidRPr="000B24E9">
        <w:rPr>
          <w:sz w:val="20"/>
          <w:szCs w:val="20"/>
        </w:rPr>
        <w:t xml:space="preserve"> at 1174.</w:t>
      </w:r>
      <w:proofErr w:type="gramEnd"/>
    </w:p>
  </w:endnote>
  <w:endnote w:id="42">
    <w:p w14:paraId="0CDF9149" w14:textId="2F9DB8E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 xml:space="preserve">J.S. </w:t>
      </w:r>
      <w:r>
        <w:rPr>
          <w:i/>
          <w:sz w:val="20"/>
          <w:szCs w:val="20"/>
        </w:rPr>
        <w:t xml:space="preserve">et al. </w:t>
      </w:r>
      <w:r w:rsidRPr="000B24E9">
        <w:rPr>
          <w:i/>
          <w:sz w:val="20"/>
          <w:szCs w:val="20"/>
        </w:rPr>
        <w:t>v. Village Voice</w:t>
      </w:r>
      <w:r w:rsidRPr="000B24E9">
        <w:rPr>
          <w:sz w:val="20"/>
          <w:szCs w:val="20"/>
        </w:rPr>
        <w:t xml:space="preserve">, 184 Wn.2d 96 (2015); </w:t>
      </w:r>
      <w:r w:rsidRPr="000B24E9">
        <w:rPr>
          <w:i/>
          <w:sz w:val="20"/>
          <w:szCs w:val="20"/>
        </w:rPr>
        <w:t>Jane Doe No. 1 v. Backpage.com</w:t>
      </w:r>
      <w:r w:rsidRPr="000B24E9">
        <w:rPr>
          <w:sz w:val="20"/>
          <w:szCs w:val="20"/>
        </w:rPr>
        <w:t>, No. 14-13870, 2015 U.S. Dist. LEXIS 63889 (D. Mass. May 15, 2015).</w:t>
      </w:r>
    </w:p>
  </w:endnote>
  <w:endnote w:id="43">
    <w:p w14:paraId="60ABD134" w14:textId="3177180B"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0B24E9">
        <w:rPr>
          <w:i/>
          <w:sz w:val="20"/>
          <w:szCs w:val="20"/>
        </w:rPr>
        <w:t>J.S.</w:t>
      </w:r>
      <w:r w:rsidRPr="000B24E9">
        <w:rPr>
          <w:sz w:val="20"/>
          <w:szCs w:val="20"/>
        </w:rPr>
        <w:t xml:space="preserve">, 184 </w:t>
      </w:r>
      <w:proofErr w:type="spellStart"/>
      <w:r w:rsidRPr="000B24E9">
        <w:rPr>
          <w:sz w:val="20"/>
          <w:szCs w:val="20"/>
        </w:rPr>
        <w:t>Wn</w:t>
      </w:r>
      <w:proofErr w:type="spellEnd"/>
      <w:r w:rsidRPr="000B24E9">
        <w:rPr>
          <w:sz w:val="20"/>
          <w:szCs w:val="20"/>
        </w:rPr>
        <w:t xml:space="preserve"> at 103.</w:t>
      </w:r>
      <w:proofErr w:type="gramEnd"/>
    </w:p>
  </w:endnote>
  <w:endnote w:id="44">
    <w:p w14:paraId="2CA1FC60" w14:textId="40E22255"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r w:rsidRPr="000B24E9">
        <w:rPr>
          <w:sz w:val="20"/>
          <w:szCs w:val="20"/>
        </w:rPr>
        <w:t xml:space="preserve"> at 102-103</w:t>
      </w:r>
    </w:p>
  </w:endnote>
  <w:endnote w:id="45">
    <w:p w14:paraId="4853B139" w14:textId="675E73B3"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Brief of </w:t>
      </w:r>
      <w:r w:rsidRPr="00F81DD0">
        <w:rPr>
          <w:i/>
          <w:sz w:val="20"/>
          <w:szCs w:val="20"/>
        </w:rPr>
        <w:t>Amici Curiae</w:t>
      </w:r>
      <w:r>
        <w:rPr>
          <w:sz w:val="20"/>
          <w:szCs w:val="20"/>
        </w:rPr>
        <w:t xml:space="preserve"> City and County of San Francisco, et al., at 19</w:t>
      </w:r>
      <w:r w:rsidRPr="000B24E9">
        <w:rPr>
          <w:sz w:val="20"/>
          <w:szCs w:val="20"/>
        </w:rPr>
        <w:t xml:space="preserve">, </w:t>
      </w:r>
      <w:r w:rsidRPr="000B24E9">
        <w:rPr>
          <w:i/>
          <w:sz w:val="20"/>
          <w:szCs w:val="20"/>
        </w:rPr>
        <w:t>Jane Doe No. 1 et al. v. Backpage.com</w:t>
      </w:r>
      <w:r w:rsidRPr="000B24E9">
        <w:rPr>
          <w:sz w:val="20"/>
          <w:szCs w:val="20"/>
        </w:rPr>
        <w:t>, No. 15-17</w:t>
      </w:r>
      <w:r>
        <w:rPr>
          <w:sz w:val="20"/>
          <w:szCs w:val="20"/>
        </w:rPr>
        <w:t xml:space="preserve">24 (1st Cir. </w:t>
      </w:r>
      <w:proofErr w:type="gramStart"/>
      <w:r>
        <w:rPr>
          <w:sz w:val="20"/>
          <w:szCs w:val="20"/>
        </w:rPr>
        <w:t>Oct. 5, 2015), ECF No. 28</w:t>
      </w:r>
      <w:r w:rsidRPr="000B24E9">
        <w:rPr>
          <w:sz w:val="20"/>
          <w:szCs w:val="20"/>
        </w:rPr>
        <w:t>.</w:t>
      </w:r>
      <w:proofErr w:type="gramEnd"/>
    </w:p>
  </w:endnote>
  <w:endnote w:id="46">
    <w:p w14:paraId="4C3A7AE7" w14:textId="2D898780"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537DCD">
        <w:rPr>
          <w:i/>
          <w:sz w:val="20"/>
          <w:szCs w:val="20"/>
        </w:rPr>
        <w:t>Id.</w:t>
      </w:r>
    </w:p>
  </w:endnote>
  <w:endnote w:id="47">
    <w:p w14:paraId="772F411B" w14:textId="2185D985" w:rsidR="0055307B" w:rsidRPr="000B24E9" w:rsidRDefault="0055307B" w:rsidP="00B905E1">
      <w:pPr>
        <w:pStyle w:val="EndnoteText"/>
        <w:rPr>
          <w:sz w:val="20"/>
          <w:szCs w:val="20"/>
        </w:rPr>
      </w:pPr>
      <w:r w:rsidRPr="000B24E9">
        <w:rPr>
          <w:rStyle w:val="EndnoteReference"/>
          <w:sz w:val="20"/>
          <w:szCs w:val="20"/>
        </w:rPr>
        <w:endnoteRef/>
      </w:r>
      <w:proofErr w:type="spellStart"/>
      <w:r w:rsidRPr="000B24E9">
        <w:rPr>
          <w:sz w:val="20"/>
          <w:szCs w:val="20"/>
        </w:rPr>
        <w:t>Yiota</w:t>
      </w:r>
      <w:proofErr w:type="spellEnd"/>
      <w:r w:rsidRPr="000B24E9">
        <w:rPr>
          <w:sz w:val="20"/>
          <w:szCs w:val="20"/>
        </w:rPr>
        <w:t xml:space="preserve"> </w:t>
      </w:r>
      <w:proofErr w:type="spellStart"/>
      <w:r w:rsidRPr="000B24E9">
        <w:rPr>
          <w:sz w:val="20"/>
          <w:szCs w:val="20"/>
        </w:rPr>
        <w:t>Souras</w:t>
      </w:r>
      <w:proofErr w:type="spellEnd"/>
      <w:r w:rsidRPr="000B24E9">
        <w:rPr>
          <w:sz w:val="20"/>
          <w:szCs w:val="20"/>
        </w:rPr>
        <w:t xml:space="preserve">, National Center for Missing and Exploited Children, Human Trafficking Investigation Hearing Testimony before the U.S. Senate’s Committee Homeland Security and Governmental Affairs, p. 8 (Nov. 19, 2015). </w:t>
      </w:r>
    </w:p>
  </w:endnote>
  <w:endnote w:id="48">
    <w:p w14:paraId="7755F6A5" w14:textId="4A854C29"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Pr>
          <w:sz w:val="20"/>
          <w:szCs w:val="20"/>
        </w:rPr>
        <w:t xml:space="preserve">San Francisco </w:t>
      </w:r>
      <w:r w:rsidRPr="00D85AE9">
        <w:rPr>
          <w:i/>
          <w:sz w:val="20"/>
          <w:szCs w:val="20"/>
        </w:rPr>
        <w:t>Amici</w:t>
      </w:r>
      <w:r>
        <w:rPr>
          <w:sz w:val="20"/>
          <w:szCs w:val="20"/>
        </w:rPr>
        <w:t xml:space="preserve"> Brief, </w:t>
      </w:r>
      <w:r w:rsidRPr="00537DCD">
        <w:rPr>
          <w:i/>
          <w:sz w:val="20"/>
          <w:szCs w:val="20"/>
        </w:rPr>
        <w:t>supra</w:t>
      </w:r>
      <w:r>
        <w:rPr>
          <w:sz w:val="20"/>
          <w:szCs w:val="20"/>
        </w:rPr>
        <w:t xml:space="preserve"> note 44, at 18-19.</w:t>
      </w:r>
    </w:p>
  </w:endnote>
  <w:endnote w:id="49">
    <w:p w14:paraId="35790275" w14:textId="08013986" w:rsidR="0055307B" w:rsidRPr="000B24E9" w:rsidRDefault="0055307B">
      <w:pPr>
        <w:pStyle w:val="EndnoteText"/>
        <w:rPr>
          <w:sz w:val="20"/>
          <w:szCs w:val="20"/>
        </w:rPr>
      </w:pPr>
      <w:r w:rsidRPr="000B24E9">
        <w:rPr>
          <w:rStyle w:val="EndnoteReference"/>
          <w:sz w:val="20"/>
          <w:szCs w:val="20"/>
        </w:rPr>
        <w:endnoteRef/>
      </w:r>
      <w:r>
        <w:rPr>
          <w:sz w:val="20"/>
          <w:szCs w:val="20"/>
        </w:rPr>
        <w:t xml:space="preserve"> </w:t>
      </w:r>
      <w:proofErr w:type="gramStart"/>
      <w:r w:rsidRPr="00FC6ABD">
        <w:rPr>
          <w:i/>
          <w:sz w:val="20"/>
          <w:szCs w:val="20"/>
        </w:rPr>
        <w:t>Jane Doe No. 1</w:t>
      </w:r>
      <w:r>
        <w:rPr>
          <w:sz w:val="20"/>
          <w:szCs w:val="20"/>
        </w:rPr>
        <w:t xml:space="preserve">, 2015 U.S. </w:t>
      </w:r>
      <w:proofErr w:type="spellStart"/>
      <w:r>
        <w:rPr>
          <w:sz w:val="20"/>
          <w:szCs w:val="20"/>
        </w:rPr>
        <w:t>Dist</w:t>
      </w:r>
      <w:proofErr w:type="spellEnd"/>
      <w:r>
        <w:rPr>
          <w:sz w:val="20"/>
          <w:szCs w:val="20"/>
        </w:rPr>
        <w:t xml:space="preserve"> LEXIS 63889 at *6-7 (citing Plaintiffs’ Second Amended Complaint).</w:t>
      </w:r>
      <w:proofErr w:type="gramEnd"/>
    </w:p>
  </w:endnote>
  <w:endnote w:id="50">
    <w:p w14:paraId="73DABE89" w14:textId="32087A62" w:rsidR="0055307B" w:rsidRPr="000B24E9" w:rsidRDefault="0055307B" w:rsidP="00B905E1">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Id.</w:t>
      </w:r>
    </w:p>
  </w:endnote>
  <w:endnote w:id="51">
    <w:p w14:paraId="24056596" w14:textId="76C7A884"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537DCD">
        <w:rPr>
          <w:i/>
          <w:sz w:val="20"/>
          <w:szCs w:val="20"/>
        </w:rPr>
        <w:t>Id.</w:t>
      </w:r>
    </w:p>
  </w:endnote>
  <w:endnote w:id="52">
    <w:p w14:paraId="7180CC26" w14:textId="61A8FC3E"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C85E32">
        <w:rPr>
          <w:i/>
          <w:sz w:val="20"/>
          <w:szCs w:val="20"/>
        </w:rPr>
        <w:t>J.S. et al. v. Village Voice</w:t>
      </w:r>
      <w:r>
        <w:rPr>
          <w:sz w:val="20"/>
          <w:szCs w:val="20"/>
        </w:rPr>
        <w:t>, 184 Wn.2d 96, 103 (2015).</w:t>
      </w:r>
      <w:proofErr w:type="gramEnd"/>
    </w:p>
  </w:endnote>
  <w:endnote w:id="53">
    <w:p w14:paraId="352CC76D" w14:textId="2336F888"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FC6ABD">
        <w:rPr>
          <w:i/>
          <w:sz w:val="20"/>
          <w:szCs w:val="20"/>
        </w:rPr>
        <w:t>Jane Doe No. 1</w:t>
      </w:r>
      <w:r>
        <w:rPr>
          <w:sz w:val="20"/>
          <w:szCs w:val="20"/>
        </w:rPr>
        <w:t xml:space="preserve">, 2015 U.S. </w:t>
      </w:r>
      <w:proofErr w:type="spellStart"/>
      <w:r>
        <w:rPr>
          <w:sz w:val="20"/>
          <w:szCs w:val="20"/>
        </w:rPr>
        <w:t>Dist</w:t>
      </w:r>
      <w:proofErr w:type="spellEnd"/>
      <w:r>
        <w:rPr>
          <w:sz w:val="20"/>
          <w:szCs w:val="20"/>
        </w:rPr>
        <w:t xml:space="preserve"> LEXIS 63889 at *17.</w:t>
      </w:r>
      <w:proofErr w:type="gramEnd"/>
    </w:p>
  </w:endnote>
  <w:endnote w:id="54">
    <w:p w14:paraId="6FD2266B" w14:textId="2B371384"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E7401F">
        <w:rPr>
          <w:i/>
          <w:sz w:val="20"/>
          <w:szCs w:val="20"/>
        </w:rPr>
        <w:t>Jane Doe No. 1 v. Backpage.com</w:t>
      </w:r>
      <w:r>
        <w:rPr>
          <w:sz w:val="20"/>
          <w:szCs w:val="20"/>
        </w:rPr>
        <w:t>, No. 15-1724 (1</w:t>
      </w:r>
      <w:r w:rsidRPr="00E7401F">
        <w:rPr>
          <w:sz w:val="20"/>
          <w:szCs w:val="20"/>
        </w:rPr>
        <w:t>st</w:t>
      </w:r>
      <w:r>
        <w:rPr>
          <w:sz w:val="20"/>
          <w:szCs w:val="20"/>
        </w:rPr>
        <w:t xml:space="preserve"> Cir. 2015).</w:t>
      </w:r>
    </w:p>
  </w:endnote>
  <w:endnote w:id="55">
    <w:p w14:paraId="1486F8BD" w14:textId="5B568081"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Pr>
          <w:sz w:val="20"/>
          <w:szCs w:val="20"/>
        </w:rPr>
        <w:t xml:space="preserve">San Francisco </w:t>
      </w:r>
      <w:r w:rsidRPr="00D85AE9">
        <w:rPr>
          <w:i/>
          <w:sz w:val="20"/>
          <w:szCs w:val="20"/>
        </w:rPr>
        <w:t>Amici</w:t>
      </w:r>
      <w:r>
        <w:rPr>
          <w:sz w:val="20"/>
          <w:szCs w:val="20"/>
        </w:rPr>
        <w:t xml:space="preserve"> Brief, </w:t>
      </w:r>
      <w:r w:rsidRPr="00537DCD">
        <w:rPr>
          <w:i/>
          <w:sz w:val="20"/>
          <w:szCs w:val="20"/>
        </w:rPr>
        <w:t>supra</w:t>
      </w:r>
      <w:r>
        <w:rPr>
          <w:sz w:val="20"/>
          <w:szCs w:val="20"/>
        </w:rPr>
        <w:t xml:space="preserve"> note 44, at 14.</w:t>
      </w:r>
    </w:p>
  </w:endnote>
  <w:endnote w:id="56">
    <w:p w14:paraId="405D09D4" w14:textId="2CDAF71F"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81BD0">
        <w:rPr>
          <w:i/>
          <w:sz w:val="20"/>
          <w:szCs w:val="20"/>
        </w:rPr>
        <w:t>See</w:t>
      </w:r>
      <w:r>
        <w:rPr>
          <w:sz w:val="20"/>
          <w:szCs w:val="20"/>
        </w:rPr>
        <w:t xml:space="preserve"> </w:t>
      </w:r>
      <w:r w:rsidRPr="000B24E9">
        <w:rPr>
          <w:i/>
          <w:sz w:val="20"/>
          <w:szCs w:val="20"/>
        </w:rPr>
        <w:t xml:space="preserve">Fair </w:t>
      </w:r>
      <w:proofErr w:type="spellStart"/>
      <w:r w:rsidRPr="000B24E9">
        <w:rPr>
          <w:i/>
          <w:sz w:val="20"/>
          <w:szCs w:val="20"/>
        </w:rPr>
        <w:t>Hous</w:t>
      </w:r>
      <w:proofErr w:type="spellEnd"/>
      <w:r w:rsidRPr="000B24E9">
        <w:rPr>
          <w:i/>
          <w:sz w:val="20"/>
          <w:szCs w:val="20"/>
        </w:rPr>
        <w:t>. Council v. Roommates.com,</w:t>
      </w:r>
      <w:r w:rsidRPr="000B24E9">
        <w:rPr>
          <w:sz w:val="20"/>
          <w:szCs w:val="20"/>
        </w:rPr>
        <w:t xml:space="preserve"> 521 F.3d 1157</w:t>
      </w:r>
      <w:r>
        <w:rPr>
          <w:sz w:val="20"/>
          <w:szCs w:val="20"/>
        </w:rPr>
        <w:t>, 1170</w:t>
      </w:r>
      <w:r w:rsidRPr="000B24E9">
        <w:rPr>
          <w:sz w:val="20"/>
          <w:szCs w:val="20"/>
        </w:rPr>
        <w:t xml:space="preserve"> (9th Cir. 2008)</w:t>
      </w:r>
    </w:p>
  </w:endnote>
  <w:endnote w:id="57">
    <w:p w14:paraId="1A35FDBD" w14:textId="3774BF4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846350">
        <w:rPr>
          <w:i/>
          <w:sz w:val="20"/>
          <w:szCs w:val="20"/>
        </w:rPr>
        <w:t>Doe v. Internet Brands</w:t>
      </w:r>
      <w:r>
        <w:rPr>
          <w:sz w:val="20"/>
          <w:szCs w:val="20"/>
        </w:rPr>
        <w:t>, 767 F.3d 894, 895 (9</w:t>
      </w:r>
      <w:r w:rsidRPr="00A65B27">
        <w:rPr>
          <w:sz w:val="20"/>
          <w:szCs w:val="20"/>
        </w:rPr>
        <w:t>th</w:t>
      </w:r>
      <w:r>
        <w:rPr>
          <w:sz w:val="20"/>
          <w:szCs w:val="20"/>
        </w:rPr>
        <w:t xml:space="preserve"> Cir. 2014)</w:t>
      </w:r>
    </w:p>
  </w:endnote>
  <w:endnote w:id="58">
    <w:p w14:paraId="74B6E940" w14:textId="14DB383A"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F30DCA">
        <w:rPr>
          <w:i/>
          <w:sz w:val="20"/>
          <w:szCs w:val="20"/>
        </w:rPr>
        <w:t>Id.</w:t>
      </w:r>
      <w:r>
        <w:rPr>
          <w:sz w:val="20"/>
          <w:szCs w:val="20"/>
        </w:rPr>
        <w:t xml:space="preserve"> </w:t>
      </w:r>
    </w:p>
  </w:endnote>
  <w:endnote w:id="59">
    <w:p w14:paraId="76A3940A" w14:textId="3908C158"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F30DCA">
        <w:rPr>
          <w:i/>
          <w:sz w:val="20"/>
          <w:szCs w:val="20"/>
        </w:rPr>
        <w:t>Id.</w:t>
      </w:r>
    </w:p>
  </w:endnote>
  <w:endnote w:id="60">
    <w:p w14:paraId="778918A5" w14:textId="1FEE1042"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F30DCA">
        <w:rPr>
          <w:i/>
          <w:sz w:val="20"/>
          <w:szCs w:val="20"/>
        </w:rPr>
        <w:t>Id.</w:t>
      </w:r>
    </w:p>
  </w:endnote>
  <w:endnote w:id="61">
    <w:p w14:paraId="56136A6A" w14:textId="0AF26BCD"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F30DCA">
        <w:rPr>
          <w:i/>
          <w:sz w:val="20"/>
          <w:szCs w:val="20"/>
        </w:rPr>
        <w:t>Id.</w:t>
      </w:r>
      <w:r>
        <w:rPr>
          <w:sz w:val="20"/>
          <w:szCs w:val="20"/>
        </w:rPr>
        <w:t xml:space="preserve"> at 900.</w:t>
      </w:r>
      <w:proofErr w:type="gramEnd"/>
    </w:p>
  </w:endnote>
  <w:endnote w:id="62">
    <w:p w14:paraId="1D74345B" w14:textId="111E5751"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F30DCA">
        <w:rPr>
          <w:i/>
          <w:sz w:val="20"/>
          <w:szCs w:val="20"/>
        </w:rPr>
        <w:t>Id.</w:t>
      </w:r>
      <w:r>
        <w:rPr>
          <w:sz w:val="20"/>
          <w:szCs w:val="20"/>
        </w:rPr>
        <w:t xml:space="preserve"> at 897.</w:t>
      </w:r>
      <w:proofErr w:type="gramEnd"/>
    </w:p>
  </w:endnote>
  <w:endnote w:id="63">
    <w:p w14:paraId="42CDC3C1" w14:textId="5408689C"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F30DCA">
        <w:rPr>
          <w:i/>
          <w:sz w:val="20"/>
          <w:szCs w:val="20"/>
        </w:rPr>
        <w:t>Id.</w:t>
      </w:r>
      <w:r>
        <w:rPr>
          <w:sz w:val="20"/>
          <w:szCs w:val="20"/>
        </w:rPr>
        <w:t xml:space="preserve"> at 899.</w:t>
      </w:r>
      <w:proofErr w:type="gramEnd"/>
    </w:p>
  </w:endnote>
  <w:endnote w:id="64">
    <w:p w14:paraId="58E347BB" w14:textId="77777777" w:rsidR="0055307B" w:rsidRPr="000B24E9" w:rsidRDefault="0055307B" w:rsidP="00EC45D1">
      <w:pPr>
        <w:pStyle w:val="EndnoteText"/>
        <w:rPr>
          <w:sz w:val="20"/>
          <w:szCs w:val="20"/>
        </w:rPr>
      </w:pPr>
      <w:r w:rsidRPr="000B24E9">
        <w:rPr>
          <w:rStyle w:val="EndnoteReference"/>
          <w:sz w:val="20"/>
          <w:szCs w:val="20"/>
        </w:rPr>
        <w:endnoteRef/>
      </w:r>
      <w:r w:rsidRPr="000B24E9">
        <w:rPr>
          <w:sz w:val="20"/>
          <w:szCs w:val="20"/>
        </w:rPr>
        <w:t xml:space="preserve"> </w:t>
      </w:r>
      <w:proofErr w:type="gramStart"/>
      <w:r w:rsidRPr="001B51A6">
        <w:rPr>
          <w:i/>
          <w:sz w:val="20"/>
          <w:szCs w:val="20"/>
        </w:rPr>
        <w:t>Doe v. Internet Brands</w:t>
      </w:r>
      <w:r w:rsidRPr="00846350">
        <w:rPr>
          <w:sz w:val="20"/>
          <w:szCs w:val="20"/>
        </w:rPr>
        <w:t xml:space="preserve">, </w:t>
      </w:r>
      <w:r w:rsidRPr="00846350">
        <w:rPr>
          <w:bCs/>
          <w:sz w:val="20"/>
          <w:szCs w:val="20"/>
        </w:rPr>
        <w:t>778 F.3d 1095</w:t>
      </w:r>
      <w:r>
        <w:rPr>
          <w:bCs/>
          <w:sz w:val="20"/>
          <w:szCs w:val="20"/>
        </w:rPr>
        <w:t xml:space="preserve"> (9</w:t>
      </w:r>
      <w:r w:rsidRPr="00846350">
        <w:rPr>
          <w:bCs/>
          <w:sz w:val="20"/>
          <w:szCs w:val="20"/>
        </w:rPr>
        <w:t xml:space="preserve">th </w:t>
      </w:r>
      <w:r>
        <w:rPr>
          <w:bCs/>
          <w:sz w:val="20"/>
          <w:szCs w:val="20"/>
        </w:rPr>
        <w:t>Cir. 2014).</w:t>
      </w:r>
      <w:proofErr w:type="gramEnd"/>
    </w:p>
  </w:endnote>
  <w:endnote w:id="65">
    <w:p w14:paraId="3C6C5C4D" w14:textId="2DB6A8CF"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Pr>
          <w:sz w:val="20"/>
          <w:szCs w:val="20"/>
        </w:rPr>
        <w:t xml:space="preserve">Robert Rogers III, </w:t>
      </w:r>
      <w:r w:rsidRPr="00E7021E">
        <w:rPr>
          <w:i/>
          <w:sz w:val="20"/>
          <w:szCs w:val="20"/>
        </w:rPr>
        <w:t>Ninth Circuit Court of Appeals Hold that Communications Decency Act Does Not Bar Actions Against Website Operators for Failure to Warn</w:t>
      </w:r>
      <w:r>
        <w:rPr>
          <w:sz w:val="20"/>
          <w:szCs w:val="20"/>
        </w:rPr>
        <w:t xml:space="preserve">, Communications Lawyer Vol. 31, No. 1, available at </w:t>
      </w:r>
      <w:r w:rsidRPr="004F40B7">
        <w:rPr>
          <w:sz w:val="20"/>
          <w:szCs w:val="20"/>
        </w:rPr>
        <w:t>http://www.americanbar.org/publications/communications_lawyer/2015/january/ninth_circuit.html</w:t>
      </w:r>
    </w:p>
  </w:endnote>
  <w:endnote w:id="66">
    <w:p w14:paraId="559575E0" w14:textId="6C01C29F"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sidRPr="000B24E9">
        <w:rPr>
          <w:i/>
          <w:sz w:val="20"/>
          <w:szCs w:val="20"/>
        </w:rPr>
        <w:t xml:space="preserve">Fair </w:t>
      </w:r>
      <w:proofErr w:type="spellStart"/>
      <w:r w:rsidRPr="000B24E9">
        <w:rPr>
          <w:i/>
          <w:sz w:val="20"/>
          <w:szCs w:val="20"/>
        </w:rPr>
        <w:t>Hous</w:t>
      </w:r>
      <w:proofErr w:type="spellEnd"/>
      <w:r w:rsidRPr="000B24E9">
        <w:rPr>
          <w:i/>
          <w:sz w:val="20"/>
          <w:szCs w:val="20"/>
        </w:rPr>
        <w:t>. Council v. Roommates.com,</w:t>
      </w:r>
      <w:r w:rsidRPr="000B24E9">
        <w:rPr>
          <w:sz w:val="20"/>
          <w:szCs w:val="20"/>
        </w:rPr>
        <w:t xml:space="preserve"> 521 F.3d 1157</w:t>
      </w:r>
      <w:r>
        <w:rPr>
          <w:sz w:val="20"/>
          <w:szCs w:val="20"/>
        </w:rPr>
        <w:t>, 1164</w:t>
      </w:r>
      <w:r w:rsidRPr="000B24E9">
        <w:rPr>
          <w:sz w:val="20"/>
          <w:szCs w:val="20"/>
        </w:rPr>
        <w:t xml:space="preserve"> (9th Cir. 2008)</w:t>
      </w:r>
    </w:p>
  </w:endnote>
  <w:endnote w:id="67">
    <w:p w14:paraId="337F4A9A" w14:textId="52AA4546" w:rsidR="0055307B" w:rsidRPr="000B24E9" w:rsidRDefault="0055307B">
      <w:pPr>
        <w:pStyle w:val="EndnoteText"/>
        <w:rPr>
          <w:sz w:val="20"/>
          <w:szCs w:val="20"/>
        </w:rPr>
      </w:pPr>
      <w:r w:rsidRPr="000B24E9">
        <w:rPr>
          <w:rStyle w:val="EndnoteReference"/>
          <w:sz w:val="20"/>
          <w:szCs w:val="20"/>
        </w:rPr>
        <w:endnoteRef/>
      </w:r>
      <w:r w:rsidRPr="000B24E9">
        <w:rPr>
          <w:sz w:val="20"/>
          <w:szCs w:val="20"/>
        </w:rPr>
        <w:t xml:space="preserve"> </w:t>
      </w:r>
      <w:r>
        <w:rPr>
          <w:sz w:val="20"/>
          <w:szCs w:val="20"/>
        </w:rPr>
        <w:t xml:space="preserve">San Francisco </w:t>
      </w:r>
      <w:r w:rsidRPr="00D85AE9">
        <w:rPr>
          <w:i/>
          <w:sz w:val="20"/>
          <w:szCs w:val="20"/>
        </w:rPr>
        <w:t>Amici</w:t>
      </w:r>
      <w:r>
        <w:rPr>
          <w:sz w:val="20"/>
          <w:szCs w:val="20"/>
        </w:rPr>
        <w:t xml:space="preserve"> Brief, </w:t>
      </w:r>
      <w:r w:rsidRPr="00537DCD">
        <w:rPr>
          <w:i/>
          <w:sz w:val="20"/>
          <w:szCs w:val="20"/>
        </w:rPr>
        <w:t>supra</w:t>
      </w:r>
      <w:r>
        <w:rPr>
          <w:sz w:val="20"/>
          <w:szCs w:val="20"/>
        </w:rPr>
        <w:t xml:space="preserve"> note 44, at </w:t>
      </w:r>
      <w:r w:rsidRPr="000B24E9">
        <w:rPr>
          <w:sz w:val="20"/>
          <w:szCs w:val="20"/>
        </w:rPr>
        <w:t>2</w:t>
      </w:r>
      <w:r>
        <w:rPr>
          <w:sz w:val="20"/>
          <w:szCs w:val="20"/>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altName w:val="Arial"/>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26207F" w14:textId="77777777" w:rsidR="0055307B" w:rsidRDefault="0055307B" w:rsidP="008C69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D66CF28" w14:textId="77777777" w:rsidR="0055307B" w:rsidRDefault="0055307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591448" w14:textId="77777777" w:rsidR="008C694C" w:rsidRPr="008C694C" w:rsidRDefault="008C694C" w:rsidP="00601365">
    <w:pPr>
      <w:pStyle w:val="Footer"/>
      <w:framePr w:wrap="around" w:vAnchor="text" w:hAnchor="margin" w:xAlign="center" w:y="1"/>
      <w:rPr>
        <w:rStyle w:val="PageNumber"/>
        <w:rFonts w:ascii="Times New Roman" w:hAnsi="Times New Roman" w:cs="Times New Roman"/>
      </w:rPr>
    </w:pPr>
    <w:r w:rsidRPr="008C694C">
      <w:rPr>
        <w:rStyle w:val="PageNumber"/>
        <w:rFonts w:ascii="Times New Roman" w:hAnsi="Times New Roman" w:cs="Times New Roman"/>
      </w:rPr>
      <w:fldChar w:fldCharType="begin"/>
    </w:r>
    <w:r w:rsidRPr="008C694C">
      <w:rPr>
        <w:rStyle w:val="PageNumber"/>
        <w:rFonts w:ascii="Times New Roman" w:hAnsi="Times New Roman" w:cs="Times New Roman"/>
      </w:rPr>
      <w:instrText xml:space="preserve">PAGE  </w:instrText>
    </w:r>
    <w:r w:rsidRPr="008C694C">
      <w:rPr>
        <w:rStyle w:val="PageNumber"/>
        <w:rFonts w:ascii="Times New Roman" w:hAnsi="Times New Roman" w:cs="Times New Roman"/>
      </w:rPr>
      <w:fldChar w:fldCharType="separate"/>
    </w:r>
    <w:r w:rsidR="00BA66DD">
      <w:rPr>
        <w:rStyle w:val="PageNumber"/>
        <w:rFonts w:ascii="Times New Roman" w:hAnsi="Times New Roman" w:cs="Times New Roman"/>
        <w:noProof/>
      </w:rPr>
      <w:t>13</w:t>
    </w:r>
    <w:r w:rsidRPr="008C694C">
      <w:rPr>
        <w:rStyle w:val="PageNumber"/>
        <w:rFonts w:ascii="Times New Roman" w:hAnsi="Times New Roman" w:cs="Times New Roman"/>
      </w:rPr>
      <w:fldChar w:fldCharType="end"/>
    </w:r>
  </w:p>
  <w:p w14:paraId="28D02CF2" w14:textId="77777777" w:rsidR="008C694C" w:rsidRDefault="008C694C">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97AD2" w14:textId="2E2B3DAA" w:rsidR="004D5F3F" w:rsidRDefault="004D5F3F">
    <w:pPr>
      <w:pStyle w:val="Footer"/>
    </w:pPr>
    <w:r>
      <w:rPr>
        <w:noProof/>
      </w:rPr>
      <w:drawing>
        <wp:anchor distT="0" distB="0" distL="114300" distR="114300" simplePos="0" relativeHeight="251661312" behindDoc="0" locked="0" layoutInCell="1" allowOverlap="1" wp14:anchorId="4BE95EDA" wp14:editId="5E6CE8F1">
          <wp:simplePos x="0" y="0"/>
          <wp:positionH relativeFrom="page">
            <wp:posOffset>0</wp:posOffset>
          </wp:positionH>
          <wp:positionV relativeFrom="page">
            <wp:posOffset>9372600</wp:posOffset>
          </wp:positionV>
          <wp:extent cx="7772400" cy="457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s-letterhead-cv01-BOTTO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5720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AF229E" w14:textId="77777777" w:rsidR="0055307B" w:rsidRDefault="0055307B" w:rsidP="006B5274">
      <w:r>
        <w:separator/>
      </w:r>
    </w:p>
  </w:footnote>
  <w:footnote w:type="continuationSeparator" w:id="0">
    <w:p w14:paraId="1ADD132D" w14:textId="77777777" w:rsidR="0055307B" w:rsidRDefault="0055307B" w:rsidP="006B527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7ABC06" w14:textId="15EFDEB4" w:rsidR="008C694C" w:rsidRDefault="008C694C">
    <w:pPr>
      <w:pStyle w:val="Header"/>
    </w:pPr>
    <w:r>
      <w:rPr>
        <w:noProof/>
      </w:rPr>
      <w:drawing>
        <wp:anchor distT="0" distB="0" distL="114300" distR="114300" simplePos="0" relativeHeight="251659264" behindDoc="0" locked="0" layoutInCell="1" allowOverlap="1" wp14:anchorId="2E3F67D9" wp14:editId="517FBC1C">
          <wp:simplePos x="0" y="0"/>
          <wp:positionH relativeFrom="page">
            <wp:posOffset>0</wp:posOffset>
          </wp:positionH>
          <wp:positionV relativeFrom="page">
            <wp:posOffset>0</wp:posOffset>
          </wp:positionV>
          <wp:extent cx="7772400" cy="1828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uls-letterhead-cv02-TOP.png"/>
                  <pic:cNvPicPr/>
                </pic:nvPicPr>
                <pic:blipFill>
                  <a:blip r:embed="rId1">
                    <a:extLst>
                      <a:ext uri="{28A0092B-C50C-407E-A947-70E740481C1C}">
                        <a14:useLocalDpi xmlns:a14="http://schemas.microsoft.com/office/drawing/2010/main" val="0"/>
                      </a:ext>
                    </a:extLst>
                  </a:blip>
                  <a:stretch>
                    <a:fillRect/>
                  </a:stretch>
                </pic:blipFill>
                <pic:spPr>
                  <a:xfrm>
                    <a:off x="0" y="0"/>
                    <a:ext cx="7772400" cy="1828800"/>
                  </a:xfrm>
                  <a:prstGeom prst="rect">
                    <a:avLst/>
                  </a:prstGeom>
                  <a:extLst>
                    <a:ext uri="{FAA26D3D-D897-4be2-8F04-BA451C77F1D7}">
                      <ma14:placeholderFlag xmlns:ma14="http://schemas.microsoft.com/office/mac/drawingml/2011/main"/>
                    </a:ext>
                  </a:extLst>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C05C5E"/>
    <w:multiLevelType w:val="hybridMultilevel"/>
    <w:tmpl w:val="796EF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268174D"/>
    <w:multiLevelType w:val="hybridMultilevel"/>
    <w:tmpl w:val="154E9E8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EE50BBD"/>
    <w:multiLevelType w:val="hybridMultilevel"/>
    <w:tmpl w:val="F1BEBC2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footnotePr>
    <w:pos w:val="beneathText"/>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6FF3"/>
    <w:rsid w:val="00003EA1"/>
    <w:rsid w:val="00012E1C"/>
    <w:rsid w:val="00015CC6"/>
    <w:rsid w:val="0002603E"/>
    <w:rsid w:val="000305C2"/>
    <w:rsid w:val="000332C4"/>
    <w:rsid w:val="0003400B"/>
    <w:rsid w:val="00034AC6"/>
    <w:rsid w:val="00034CEB"/>
    <w:rsid w:val="00035C06"/>
    <w:rsid w:val="00040BD4"/>
    <w:rsid w:val="0004148E"/>
    <w:rsid w:val="0004384F"/>
    <w:rsid w:val="00044FD6"/>
    <w:rsid w:val="00061204"/>
    <w:rsid w:val="00070EB0"/>
    <w:rsid w:val="00071F63"/>
    <w:rsid w:val="00076ED9"/>
    <w:rsid w:val="000774DD"/>
    <w:rsid w:val="00081BD0"/>
    <w:rsid w:val="00094709"/>
    <w:rsid w:val="00097AED"/>
    <w:rsid w:val="000A313C"/>
    <w:rsid w:val="000A38C2"/>
    <w:rsid w:val="000A4274"/>
    <w:rsid w:val="000A695B"/>
    <w:rsid w:val="000A7600"/>
    <w:rsid w:val="000A7E72"/>
    <w:rsid w:val="000B24E9"/>
    <w:rsid w:val="000B2FC7"/>
    <w:rsid w:val="000B72D6"/>
    <w:rsid w:val="000C4DB3"/>
    <w:rsid w:val="000F16E5"/>
    <w:rsid w:val="000F3850"/>
    <w:rsid w:val="000F4F2C"/>
    <w:rsid w:val="00102874"/>
    <w:rsid w:val="00112541"/>
    <w:rsid w:val="001130D4"/>
    <w:rsid w:val="00114CFA"/>
    <w:rsid w:val="00127230"/>
    <w:rsid w:val="001347CE"/>
    <w:rsid w:val="001376A9"/>
    <w:rsid w:val="00151FE1"/>
    <w:rsid w:val="00157B13"/>
    <w:rsid w:val="001614E7"/>
    <w:rsid w:val="00163812"/>
    <w:rsid w:val="001638F9"/>
    <w:rsid w:val="00182A3E"/>
    <w:rsid w:val="00193D63"/>
    <w:rsid w:val="00193F7E"/>
    <w:rsid w:val="00194742"/>
    <w:rsid w:val="00196214"/>
    <w:rsid w:val="001973DB"/>
    <w:rsid w:val="001A12B1"/>
    <w:rsid w:val="001A3F56"/>
    <w:rsid w:val="001B2B6A"/>
    <w:rsid w:val="001B51A6"/>
    <w:rsid w:val="001B66F2"/>
    <w:rsid w:val="001D1B39"/>
    <w:rsid w:val="001E1A36"/>
    <w:rsid w:val="0020043C"/>
    <w:rsid w:val="002028E6"/>
    <w:rsid w:val="00206B4D"/>
    <w:rsid w:val="0020731E"/>
    <w:rsid w:val="00210CE8"/>
    <w:rsid w:val="00212759"/>
    <w:rsid w:val="002156AC"/>
    <w:rsid w:val="00216AC2"/>
    <w:rsid w:val="00220470"/>
    <w:rsid w:val="00221C7C"/>
    <w:rsid w:val="0022212D"/>
    <w:rsid w:val="002226F8"/>
    <w:rsid w:val="00227022"/>
    <w:rsid w:val="00255618"/>
    <w:rsid w:val="002710CA"/>
    <w:rsid w:val="002734FE"/>
    <w:rsid w:val="00280E17"/>
    <w:rsid w:val="00281DD9"/>
    <w:rsid w:val="00283FEA"/>
    <w:rsid w:val="00284D63"/>
    <w:rsid w:val="00286F0D"/>
    <w:rsid w:val="00297283"/>
    <w:rsid w:val="002A1A02"/>
    <w:rsid w:val="002A1CBF"/>
    <w:rsid w:val="002A1E69"/>
    <w:rsid w:val="002A7535"/>
    <w:rsid w:val="002B2BA9"/>
    <w:rsid w:val="002C099F"/>
    <w:rsid w:val="002C5260"/>
    <w:rsid w:val="002C66EC"/>
    <w:rsid w:val="002D13B1"/>
    <w:rsid w:val="002E24C9"/>
    <w:rsid w:val="002F60B3"/>
    <w:rsid w:val="00301B4F"/>
    <w:rsid w:val="003134F5"/>
    <w:rsid w:val="003138F4"/>
    <w:rsid w:val="00314BBE"/>
    <w:rsid w:val="00317E55"/>
    <w:rsid w:val="00327D6A"/>
    <w:rsid w:val="003417B4"/>
    <w:rsid w:val="00342836"/>
    <w:rsid w:val="00346DA4"/>
    <w:rsid w:val="00346F9E"/>
    <w:rsid w:val="00350829"/>
    <w:rsid w:val="00351D7A"/>
    <w:rsid w:val="00353794"/>
    <w:rsid w:val="00357D47"/>
    <w:rsid w:val="00370C29"/>
    <w:rsid w:val="003714B7"/>
    <w:rsid w:val="00376028"/>
    <w:rsid w:val="00380575"/>
    <w:rsid w:val="0039561A"/>
    <w:rsid w:val="003B13B5"/>
    <w:rsid w:val="003B2B4E"/>
    <w:rsid w:val="003B7172"/>
    <w:rsid w:val="003C205A"/>
    <w:rsid w:val="003C66C1"/>
    <w:rsid w:val="003F27F1"/>
    <w:rsid w:val="003F3811"/>
    <w:rsid w:val="003F5420"/>
    <w:rsid w:val="00415277"/>
    <w:rsid w:val="00417DD4"/>
    <w:rsid w:val="00420F5B"/>
    <w:rsid w:val="00423770"/>
    <w:rsid w:val="00424CC5"/>
    <w:rsid w:val="00440D46"/>
    <w:rsid w:val="00443A20"/>
    <w:rsid w:val="00446F8D"/>
    <w:rsid w:val="00451AF9"/>
    <w:rsid w:val="00456F43"/>
    <w:rsid w:val="00460D44"/>
    <w:rsid w:val="00464A8B"/>
    <w:rsid w:val="00472A86"/>
    <w:rsid w:val="004757FA"/>
    <w:rsid w:val="0048071F"/>
    <w:rsid w:val="0049147E"/>
    <w:rsid w:val="00493706"/>
    <w:rsid w:val="00497900"/>
    <w:rsid w:val="004A556B"/>
    <w:rsid w:val="004B20F2"/>
    <w:rsid w:val="004B394A"/>
    <w:rsid w:val="004B39B1"/>
    <w:rsid w:val="004B3EEA"/>
    <w:rsid w:val="004B595B"/>
    <w:rsid w:val="004B5DF3"/>
    <w:rsid w:val="004B6FF3"/>
    <w:rsid w:val="004D0BE0"/>
    <w:rsid w:val="004D5F3F"/>
    <w:rsid w:val="004E1332"/>
    <w:rsid w:val="004F18B6"/>
    <w:rsid w:val="004F40B7"/>
    <w:rsid w:val="00504564"/>
    <w:rsid w:val="005054B5"/>
    <w:rsid w:val="00510D0D"/>
    <w:rsid w:val="00513C04"/>
    <w:rsid w:val="00537744"/>
    <w:rsid w:val="00537DCD"/>
    <w:rsid w:val="005440F2"/>
    <w:rsid w:val="00547D96"/>
    <w:rsid w:val="00552037"/>
    <w:rsid w:val="0055307B"/>
    <w:rsid w:val="0055618E"/>
    <w:rsid w:val="00562113"/>
    <w:rsid w:val="0058198D"/>
    <w:rsid w:val="00583205"/>
    <w:rsid w:val="00594A48"/>
    <w:rsid w:val="005B0292"/>
    <w:rsid w:val="005C11FF"/>
    <w:rsid w:val="005E280D"/>
    <w:rsid w:val="005E6485"/>
    <w:rsid w:val="005F609D"/>
    <w:rsid w:val="00605C83"/>
    <w:rsid w:val="0061297C"/>
    <w:rsid w:val="0062042C"/>
    <w:rsid w:val="00627126"/>
    <w:rsid w:val="0063038F"/>
    <w:rsid w:val="00636047"/>
    <w:rsid w:val="006375AD"/>
    <w:rsid w:val="00642054"/>
    <w:rsid w:val="00643A88"/>
    <w:rsid w:val="00646D23"/>
    <w:rsid w:val="00655DA6"/>
    <w:rsid w:val="00656045"/>
    <w:rsid w:val="00656FF3"/>
    <w:rsid w:val="00660C79"/>
    <w:rsid w:val="0067445C"/>
    <w:rsid w:val="00677955"/>
    <w:rsid w:val="006852A2"/>
    <w:rsid w:val="0068755D"/>
    <w:rsid w:val="006A0747"/>
    <w:rsid w:val="006A2C6F"/>
    <w:rsid w:val="006B5274"/>
    <w:rsid w:val="006C1CA2"/>
    <w:rsid w:val="006C40B5"/>
    <w:rsid w:val="006C6B5C"/>
    <w:rsid w:val="006D0B81"/>
    <w:rsid w:val="006D3A82"/>
    <w:rsid w:val="006D606E"/>
    <w:rsid w:val="006E2C53"/>
    <w:rsid w:val="006E3C64"/>
    <w:rsid w:val="006E7000"/>
    <w:rsid w:val="0070090E"/>
    <w:rsid w:val="00707EBA"/>
    <w:rsid w:val="0075070B"/>
    <w:rsid w:val="00762141"/>
    <w:rsid w:val="00764350"/>
    <w:rsid w:val="00770C5E"/>
    <w:rsid w:val="00773DF6"/>
    <w:rsid w:val="00780F27"/>
    <w:rsid w:val="00781258"/>
    <w:rsid w:val="00781EC4"/>
    <w:rsid w:val="007867C2"/>
    <w:rsid w:val="007905B6"/>
    <w:rsid w:val="007975DB"/>
    <w:rsid w:val="007A3421"/>
    <w:rsid w:val="007B08CE"/>
    <w:rsid w:val="007B096D"/>
    <w:rsid w:val="007D6F50"/>
    <w:rsid w:val="007E6643"/>
    <w:rsid w:val="007E7FB7"/>
    <w:rsid w:val="00806E9E"/>
    <w:rsid w:val="008114A6"/>
    <w:rsid w:val="00812DFB"/>
    <w:rsid w:val="0082597F"/>
    <w:rsid w:val="00827E3E"/>
    <w:rsid w:val="00835964"/>
    <w:rsid w:val="00840847"/>
    <w:rsid w:val="008416F3"/>
    <w:rsid w:val="0084505F"/>
    <w:rsid w:val="00846350"/>
    <w:rsid w:val="00847DF0"/>
    <w:rsid w:val="00857551"/>
    <w:rsid w:val="00863320"/>
    <w:rsid w:val="00863DC4"/>
    <w:rsid w:val="00874274"/>
    <w:rsid w:val="008769AE"/>
    <w:rsid w:val="00883485"/>
    <w:rsid w:val="008928AA"/>
    <w:rsid w:val="00894333"/>
    <w:rsid w:val="008A24D8"/>
    <w:rsid w:val="008B7F45"/>
    <w:rsid w:val="008C06FB"/>
    <w:rsid w:val="008C694C"/>
    <w:rsid w:val="008D366D"/>
    <w:rsid w:val="008F48F7"/>
    <w:rsid w:val="009069CB"/>
    <w:rsid w:val="009104A3"/>
    <w:rsid w:val="00913AB2"/>
    <w:rsid w:val="00920144"/>
    <w:rsid w:val="00923484"/>
    <w:rsid w:val="009257C9"/>
    <w:rsid w:val="00930240"/>
    <w:rsid w:val="00936A9A"/>
    <w:rsid w:val="00937002"/>
    <w:rsid w:val="0094254E"/>
    <w:rsid w:val="009567E5"/>
    <w:rsid w:val="009642A8"/>
    <w:rsid w:val="0096660C"/>
    <w:rsid w:val="0097446C"/>
    <w:rsid w:val="00977950"/>
    <w:rsid w:val="00982A2F"/>
    <w:rsid w:val="0098631F"/>
    <w:rsid w:val="00990C16"/>
    <w:rsid w:val="00996766"/>
    <w:rsid w:val="009A0C47"/>
    <w:rsid w:val="009A4386"/>
    <w:rsid w:val="009A4749"/>
    <w:rsid w:val="009B60ED"/>
    <w:rsid w:val="009C135B"/>
    <w:rsid w:val="009C7964"/>
    <w:rsid w:val="009D0CE1"/>
    <w:rsid w:val="009D4325"/>
    <w:rsid w:val="009D7548"/>
    <w:rsid w:val="00A112F8"/>
    <w:rsid w:val="00A14A19"/>
    <w:rsid w:val="00A16E18"/>
    <w:rsid w:val="00A204EA"/>
    <w:rsid w:val="00A46FD3"/>
    <w:rsid w:val="00A54753"/>
    <w:rsid w:val="00A61FAF"/>
    <w:rsid w:val="00A65B27"/>
    <w:rsid w:val="00A8111B"/>
    <w:rsid w:val="00A85523"/>
    <w:rsid w:val="00A908F1"/>
    <w:rsid w:val="00A94074"/>
    <w:rsid w:val="00AA30AA"/>
    <w:rsid w:val="00AA5D69"/>
    <w:rsid w:val="00AB1518"/>
    <w:rsid w:val="00AB5EC9"/>
    <w:rsid w:val="00AC15A7"/>
    <w:rsid w:val="00AC2531"/>
    <w:rsid w:val="00AC55DD"/>
    <w:rsid w:val="00AD1345"/>
    <w:rsid w:val="00AD1EB6"/>
    <w:rsid w:val="00AD33D4"/>
    <w:rsid w:val="00AE1C7C"/>
    <w:rsid w:val="00AE4A9B"/>
    <w:rsid w:val="00AE4D56"/>
    <w:rsid w:val="00AF2BED"/>
    <w:rsid w:val="00AF4BB1"/>
    <w:rsid w:val="00AF6588"/>
    <w:rsid w:val="00AF6D57"/>
    <w:rsid w:val="00B0051F"/>
    <w:rsid w:val="00B01F55"/>
    <w:rsid w:val="00B0265B"/>
    <w:rsid w:val="00B0510E"/>
    <w:rsid w:val="00B1686F"/>
    <w:rsid w:val="00B21072"/>
    <w:rsid w:val="00B21668"/>
    <w:rsid w:val="00B23DE5"/>
    <w:rsid w:val="00B32689"/>
    <w:rsid w:val="00B32E3B"/>
    <w:rsid w:val="00B368B2"/>
    <w:rsid w:val="00B37A0B"/>
    <w:rsid w:val="00B42724"/>
    <w:rsid w:val="00B44A39"/>
    <w:rsid w:val="00B71006"/>
    <w:rsid w:val="00B7301A"/>
    <w:rsid w:val="00B73D02"/>
    <w:rsid w:val="00B812F6"/>
    <w:rsid w:val="00B854BB"/>
    <w:rsid w:val="00B905E1"/>
    <w:rsid w:val="00B9411C"/>
    <w:rsid w:val="00B95CA6"/>
    <w:rsid w:val="00B97FE4"/>
    <w:rsid w:val="00BA02A1"/>
    <w:rsid w:val="00BA0E98"/>
    <w:rsid w:val="00BA66DD"/>
    <w:rsid w:val="00BB07C2"/>
    <w:rsid w:val="00BB2D36"/>
    <w:rsid w:val="00BB6D4F"/>
    <w:rsid w:val="00BC0022"/>
    <w:rsid w:val="00BC7CB1"/>
    <w:rsid w:val="00BD04A7"/>
    <w:rsid w:val="00BE541F"/>
    <w:rsid w:val="00BE6BF7"/>
    <w:rsid w:val="00BF4E7B"/>
    <w:rsid w:val="00C00179"/>
    <w:rsid w:val="00C01DDB"/>
    <w:rsid w:val="00C05A21"/>
    <w:rsid w:val="00C06650"/>
    <w:rsid w:val="00C06780"/>
    <w:rsid w:val="00C12652"/>
    <w:rsid w:val="00C20D4B"/>
    <w:rsid w:val="00C23934"/>
    <w:rsid w:val="00C23A57"/>
    <w:rsid w:val="00C271B0"/>
    <w:rsid w:val="00C41357"/>
    <w:rsid w:val="00C418AC"/>
    <w:rsid w:val="00C42E47"/>
    <w:rsid w:val="00C4472D"/>
    <w:rsid w:val="00C46E02"/>
    <w:rsid w:val="00C53BAA"/>
    <w:rsid w:val="00C606EC"/>
    <w:rsid w:val="00C6238B"/>
    <w:rsid w:val="00C71B56"/>
    <w:rsid w:val="00C71EA1"/>
    <w:rsid w:val="00C722DE"/>
    <w:rsid w:val="00C85E32"/>
    <w:rsid w:val="00C93076"/>
    <w:rsid w:val="00CB1B43"/>
    <w:rsid w:val="00CC64D3"/>
    <w:rsid w:val="00CC7E67"/>
    <w:rsid w:val="00CD6573"/>
    <w:rsid w:val="00CD7872"/>
    <w:rsid w:val="00CE1EC5"/>
    <w:rsid w:val="00CE6EB3"/>
    <w:rsid w:val="00CF051E"/>
    <w:rsid w:val="00CF3F03"/>
    <w:rsid w:val="00CF5D5B"/>
    <w:rsid w:val="00CF7F6A"/>
    <w:rsid w:val="00D147C8"/>
    <w:rsid w:val="00D165B3"/>
    <w:rsid w:val="00D20901"/>
    <w:rsid w:val="00D25C98"/>
    <w:rsid w:val="00D30BD7"/>
    <w:rsid w:val="00D32295"/>
    <w:rsid w:val="00D348C6"/>
    <w:rsid w:val="00D355D3"/>
    <w:rsid w:val="00D44FBE"/>
    <w:rsid w:val="00D562AA"/>
    <w:rsid w:val="00D57FBE"/>
    <w:rsid w:val="00D70E64"/>
    <w:rsid w:val="00D738EE"/>
    <w:rsid w:val="00D81CA2"/>
    <w:rsid w:val="00D85AE9"/>
    <w:rsid w:val="00D925DD"/>
    <w:rsid w:val="00DA2692"/>
    <w:rsid w:val="00DA6520"/>
    <w:rsid w:val="00DA73F0"/>
    <w:rsid w:val="00DB54D3"/>
    <w:rsid w:val="00DB6380"/>
    <w:rsid w:val="00DC6C59"/>
    <w:rsid w:val="00DD6E52"/>
    <w:rsid w:val="00DE1E23"/>
    <w:rsid w:val="00DE4B65"/>
    <w:rsid w:val="00DE64A0"/>
    <w:rsid w:val="00DF38D2"/>
    <w:rsid w:val="00E04211"/>
    <w:rsid w:val="00E11BC6"/>
    <w:rsid w:val="00E13779"/>
    <w:rsid w:val="00E163A5"/>
    <w:rsid w:val="00E21DF9"/>
    <w:rsid w:val="00E24B0B"/>
    <w:rsid w:val="00E26AAE"/>
    <w:rsid w:val="00E43441"/>
    <w:rsid w:val="00E470DA"/>
    <w:rsid w:val="00E52303"/>
    <w:rsid w:val="00E556BB"/>
    <w:rsid w:val="00E601AD"/>
    <w:rsid w:val="00E60AE9"/>
    <w:rsid w:val="00E6161E"/>
    <w:rsid w:val="00E637B6"/>
    <w:rsid w:val="00E63D3F"/>
    <w:rsid w:val="00E7021E"/>
    <w:rsid w:val="00E7401F"/>
    <w:rsid w:val="00E75B31"/>
    <w:rsid w:val="00E80029"/>
    <w:rsid w:val="00E8332D"/>
    <w:rsid w:val="00E908C6"/>
    <w:rsid w:val="00EA6CB0"/>
    <w:rsid w:val="00EA7F84"/>
    <w:rsid w:val="00EB08BF"/>
    <w:rsid w:val="00EC0445"/>
    <w:rsid w:val="00EC0E73"/>
    <w:rsid w:val="00EC2304"/>
    <w:rsid w:val="00EC45D1"/>
    <w:rsid w:val="00ED24F8"/>
    <w:rsid w:val="00ED2716"/>
    <w:rsid w:val="00ED4DD5"/>
    <w:rsid w:val="00ED60D3"/>
    <w:rsid w:val="00EE15F2"/>
    <w:rsid w:val="00EE1C83"/>
    <w:rsid w:val="00EE3DB6"/>
    <w:rsid w:val="00EE5A13"/>
    <w:rsid w:val="00F00EBB"/>
    <w:rsid w:val="00F30DCA"/>
    <w:rsid w:val="00F4026E"/>
    <w:rsid w:val="00F63FD0"/>
    <w:rsid w:val="00F72671"/>
    <w:rsid w:val="00F75CE4"/>
    <w:rsid w:val="00F81DD0"/>
    <w:rsid w:val="00F83572"/>
    <w:rsid w:val="00F947C5"/>
    <w:rsid w:val="00F954FC"/>
    <w:rsid w:val="00F9724F"/>
    <w:rsid w:val="00FA38CA"/>
    <w:rsid w:val="00FA616C"/>
    <w:rsid w:val="00FB0C77"/>
    <w:rsid w:val="00FB0EC1"/>
    <w:rsid w:val="00FC315C"/>
    <w:rsid w:val="00FC6ABD"/>
    <w:rsid w:val="00FC7C90"/>
    <w:rsid w:val="00FE02DD"/>
    <w:rsid w:val="00FE2D70"/>
    <w:rsid w:val="00FE2EE1"/>
    <w:rsid w:val="00FE44DE"/>
    <w:rsid w:val="00FE6BA8"/>
    <w:rsid w:val="00FF3F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23BAC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B2"/>
    <w:pPr>
      <w:ind w:left="720"/>
      <w:contextualSpacing/>
    </w:pPr>
  </w:style>
  <w:style w:type="paragraph" w:styleId="FootnoteText">
    <w:name w:val="footnote text"/>
    <w:basedOn w:val="Normal"/>
    <w:link w:val="FootnoteTextChar"/>
    <w:uiPriority w:val="99"/>
    <w:unhideWhenUsed/>
    <w:rsid w:val="006B5274"/>
  </w:style>
  <w:style w:type="character" w:customStyle="1" w:styleId="FootnoteTextChar">
    <w:name w:val="Footnote Text Char"/>
    <w:basedOn w:val="DefaultParagraphFont"/>
    <w:link w:val="FootnoteText"/>
    <w:uiPriority w:val="99"/>
    <w:rsid w:val="006B5274"/>
  </w:style>
  <w:style w:type="character" w:styleId="FootnoteReference">
    <w:name w:val="footnote reference"/>
    <w:basedOn w:val="DefaultParagraphFont"/>
    <w:uiPriority w:val="99"/>
    <w:unhideWhenUsed/>
    <w:rsid w:val="006B5274"/>
    <w:rPr>
      <w:vertAlign w:val="superscript"/>
    </w:rPr>
  </w:style>
  <w:style w:type="character" w:styleId="CommentReference">
    <w:name w:val="annotation reference"/>
    <w:basedOn w:val="DefaultParagraphFont"/>
    <w:uiPriority w:val="99"/>
    <w:semiHidden/>
    <w:unhideWhenUsed/>
    <w:rsid w:val="004B39B1"/>
    <w:rPr>
      <w:sz w:val="18"/>
      <w:szCs w:val="18"/>
    </w:rPr>
  </w:style>
  <w:style w:type="paragraph" w:styleId="CommentText">
    <w:name w:val="annotation text"/>
    <w:basedOn w:val="Normal"/>
    <w:link w:val="CommentTextChar"/>
    <w:uiPriority w:val="99"/>
    <w:unhideWhenUsed/>
    <w:rsid w:val="004B39B1"/>
  </w:style>
  <w:style w:type="character" w:customStyle="1" w:styleId="CommentTextChar">
    <w:name w:val="Comment Text Char"/>
    <w:basedOn w:val="DefaultParagraphFont"/>
    <w:link w:val="CommentText"/>
    <w:uiPriority w:val="99"/>
    <w:rsid w:val="004B39B1"/>
  </w:style>
  <w:style w:type="paragraph" w:styleId="CommentSubject">
    <w:name w:val="annotation subject"/>
    <w:basedOn w:val="CommentText"/>
    <w:next w:val="CommentText"/>
    <w:link w:val="CommentSubjectChar"/>
    <w:uiPriority w:val="99"/>
    <w:semiHidden/>
    <w:unhideWhenUsed/>
    <w:rsid w:val="004B39B1"/>
    <w:rPr>
      <w:b/>
      <w:bCs/>
      <w:sz w:val="20"/>
      <w:szCs w:val="20"/>
    </w:rPr>
  </w:style>
  <w:style w:type="character" w:customStyle="1" w:styleId="CommentSubjectChar">
    <w:name w:val="Comment Subject Char"/>
    <w:basedOn w:val="CommentTextChar"/>
    <w:link w:val="CommentSubject"/>
    <w:uiPriority w:val="99"/>
    <w:semiHidden/>
    <w:rsid w:val="004B39B1"/>
    <w:rPr>
      <w:b/>
      <w:bCs/>
      <w:sz w:val="20"/>
      <w:szCs w:val="20"/>
    </w:rPr>
  </w:style>
  <w:style w:type="paragraph" w:styleId="BalloonText">
    <w:name w:val="Balloon Text"/>
    <w:basedOn w:val="Normal"/>
    <w:link w:val="BalloonTextChar"/>
    <w:uiPriority w:val="99"/>
    <w:semiHidden/>
    <w:unhideWhenUsed/>
    <w:rsid w:val="004B3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9B1"/>
    <w:rPr>
      <w:rFonts w:ascii="Lucida Grande" w:hAnsi="Lucida Grande" w:cs="Lucida Grande"/>
      <w:sz w:val="18"/>
      <w:szCs w:val="18"/>
    </w:rPr>
  </w:style>
  <w:style w:type="paragraph" w:styleId="NormalWeb">
    <w:name w:val="Normal (Web)"/>
    <w:basedOn w:val="Normal"/>
    <w:uiPriority w:val="99"/>
    <w:semiHidden/>
    <w:unhideWhenUsed/>
    <w:rsid w:val="00C4472D"/>
    <w:rPr>
      <w:rFonts w:ascii="Times New Roman" w:hAnsi="Times New Roman" w:cs="Times New Roman"/>
    </w:rPr>
  </w:style>
  <w:style w:type="paragraph" w:styleId="EndnoteText">
    <w:name w:val="endnote text"/>
    <w:basedOn w:val="Normal"/>
    <w:link w:val="EndnoteTextChar"/>
    <w:uiPriority w:val="99"/>
    <w:unhideWhenUsed/>
    <w:rsid w:val="00380575"/>
  </w:style>
  <w:style w:type="character" w:customStyle="1" w:styleId="EndnoteTextChar">
    <w:name w:val="Endnote Text Char"/>
    <w:basedOn w:val="DefaultParagraphFont"/>
    <w:link w:val="EndnoteText"/>
    <w:uiPriority w:val="99"/>
    <w:rsid w:val="00380575"/>
  </w:style>
  <w:style w:type="character" w:styleId="EndnoteReference">
    <w:name w:val="endnote reference"/>
    <w:basedOn w:val="DefaultParagraphFont"/>
    <w:uiPriority w:val="99"/>
    <w:unhideWhenUsed/>
    <w:rsid w:val="00380575"/>
    <w:rPr>
      <w:vertAlign w:val="superscript"/>
    </w:rPr>
  </w:style>
  <w:style w:type="paragraph" w:styleId="Footer">
    <w:name w:val="footer"/>
    <w:basedOn w:val="Normal"/>
    <w:link w:val="FooterChar"/>
    <w:uiPriority w:val="99"/>
    <w:unhideWhenUsed/>
    <w:rsid w:val="001614E7"/>
    <w:pPr>
      <w:tabs>
        <w:tab w:val="center" w:pos="4320"/>
        <w:tab w:val="right" w:pos="8640"/>
      </w:tabs>
    </w:pPr>
  </w:style>
  <w:style w:type="character" w:customStyle="1" w:styleId="FooterChar">
    <w:name w:val="Footer Char"/>
    <w:basedOn w:val="DefaultParagraphFont"/>
    <w:link w:val="Footer"/>
    <w:uiPriority w:val="99"/>
    <w:rsid w:val="001614E7"/>
  </w:style>
  <w:style w:type="character" w:styleId="PageNumber">
    <w:name w:val="page number"/>
    <w:basedOn w:val="DefaultParagraphFont"/>
    <w:uiPriority w:val="99"/>
    <w:semiHidden/>
    <w:unhideWhenUsed/>
    <w:rsid w:val="001614E7"/>
  </w:style>
  <w:style w:type="paragraph" w:styleId="Header">
    <w:name w:val="header"/>
    <w:basedOn w:val="Normal"/>
    <w:link w:val="HeaderChar"/>
    <w:uiPriority w:val="99"/>
    <w:unhideWhenUsed/>
    <w:rsid w:val="008C694C"/>
    <w:pPr>
      <w:tabs>
        <w:tab w:val="center" w:pos="4320"/>
        <w:tab w:val="right" w:pos="8640"/>
      </w:tabs>
    </w:pPr>
  </w:style>
  <w:style w:type="character" w:customStyle="1" w:styleId="HeaderChar">
    <w:name w:val="Header Char"/>
    <w:basedOn w:val="DefaultParagraphFont"/>
    <w:link w:val="Header"/>
    <w:uiPriority w:val="99"/>
    <w:rsid w:val="008C694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68B2"/>
    <w:pPr>
      <w:ind w:left="720"/>
      <w:contextualSpacing/>
    </w:pPr>
  </w:style>
  <w:style w:type="paragraph" w:styleId="FootnoteText">
    <w:name w:val="footnote text"/>
    <w:basedOn w:val="Normal"/>
    <w:link w:val="FootnoteTextChar"/>
    <w:uiPriority w:val="99"/>
    <w:unhideWhenUsed/>
    <w:rsid w:val="006B5274"/>
  </w:style>
  <w:style w:type="character" w:customStyle="1" w:styleId="FootnoteTextChar">
    <w:name w:val="Footnote Text Char"/>
    <w:basedOn w:val="DefaultParagraphFont"/>
    <w:link w:val="FootnoteText"/>
    <w:uiPriority w:val="99"/>
    <w:rsid w:val="006B5274"/>
  </w:style>
  <w:style w:type="character" w:styleId="FootnoteReference">
    <w:name w:val="footnote reference"/>
    <w:basedOn w:val="DefaultParagraphFont"/>
    <w:uiPriority w:val="99"/>
    <w:unhideWhenUsed/>
    <w:rsid w:val="006B5274"/>
    <w:rPr>
      <w:vertAlign w:val="superscript"/>
    </w:rPr>
  </w:style>
  <w:style w:type="character" w:styleId="CommentReference">
    <w:name w:val="annotation reference"/>
    <w:basedOn w:val="DefaultParagraphFont"/>
    <w:uiPriority w:val="99"/>
    <w:semiHidden/>
    <w:unhideWhenUsed/>
    <w:rsid w:val="004B39B1"/>
    <w:rPr>
      <w:sz w:val="18"/>
      <w:szCs w:val="18"/>
    </w:rPr>
  </w:style>
  <w:style w:type="paragraph" w:styleId="CommentText">
    <w:name w:val="annotation text"/>
    <w:basedOn w:val="Normal"/>
    <w:link w:val="CommentTextChar"/>
    <w:uiPriority w:val="99"/>
    <w:unhideWhenUsed/>
    <w:rsid w:val="004B39B1"/>
  </w:style>
  <w:style w:type="character" w:customStyle="1" w:styleId="CommentTextChar">
    <w:name w:val="Comment Text Char"/>
    <w:basedOn w:val="DefaultParagraphFont"/>
    <w:link w:val="CommentText"/>
    <w:uiPriority w:val="99"/>
    <w:rsid w:val="004B39B1"/>
  </w:style>
  <w:style w:type="paragraph" w:styleId="CommentSubject">
    <w:name w:val="annotation subject"/>
    <w:basedOn w:val="CommentText"/>
    <w:next w:val="CommentText"/>
    <w:link w:val="CommentSubjectChar"/>
    <w:uiPriority w:val="99"/>
    <w:semiHidden/>
    <w:unhideWhenUsed/>
    <w:rsid w:val="004B39B1"/>
    <w:rPr>
      <w:b/>
      <w:bCs/>
      <w:sz w:val="20"/>
      <w:szCs w:val="20"/>
    </w:rPr>
  </w:style>
  <w:style w:type="character" w:customStyle="1" w:styleId="CommentSubjectChar">
    <w:name w:val="Comment Subject Char"/>
    <w:basedOn w:val="CommentTextChar"/>
    <w:link w:val="CommentSubject"/>
    <w:uiPriority w:val="99"/>
    <w:semiHidden/>
    <w:rsid w:val="004B39B1"/>
    <w:rPr>
      <w:b/>
      <w:bCs/>
      <w:sz w:val="20"/>
      <w:szCs w:val="20"/>
    </w:rPr>
  </w:style>
  <w:style w:type="paragraph" w:styleId="BalloonText">
    <w:name w:val="Balloon Text"/>
    <w:basedOn w:val="Normal"/>
    <w:link w:val="BalloonTextChar"/>
    <w:uiPriority w:val="99"/>
    <w:semiHidden/>
    <w:unhideWhenUsed/>
    <w:rsid w:val="004B39B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B39B1"/>
    <w:rPr>
      <w:rFonts w:ascii="Lucida Grande" w:hAnsi="Lucida Grande" w:cs="Lucida Grande"/>
      <w:sz w:val="18"/>
      <w:szCs w:val="18"/>
    </w:rPr>
  </w:style>
  <w:style w:type="paragraph" w:styleId="NormalWeb">
    <w:name w:val="Normal (Web)"/>
    <w:basedOn w:val="Normal"/>
    <w:uiPriority w:val="99"/>
    <w:semiHidden/>
    <w:unhideWhenUsed/>
    <w:rsid w:val="00C4472D"/>
    <w:rPr>
      <w:rFonts w:ascii="Times New Roman" w:hAnsi="Times New Roman" w:cs="Times New Roman"/>
    </w:rPr>
  </w:style>
  <w:style w:type="paragraph" w:styleId="EndnoteText">
    <w:name w:val="endnote text"/>
    <w:basedOn w:val="Normal"/>
    <w:link w:val="EndnoteTextChar"/>
    <w:uiPriority w:val="99"/>
    <w:unhideWhenUsed/>
    <w:rsid w:val="00380575"/>
  </w:style>
  <w:style w:type="character" w:customStyle="1" w:styleId="EndnoteTextChar">
    <w:name w:val="Endnote Text Char"/>
    <w:basedOn w:val="DefaultParagraphFont"/>
    <w:link w:val="EndnoteText"/>
    <w:uiPriority w:val="99"/>
    <w:rsid w:val="00380575"/>
  </w:style>
  <w:style w:type="character" w:styleId="EndnoteReference">
    <w:name w:val="endnote reference"/>
    <w:basedOn w:val="DefaultParagraphFont"/>
    <w:uiPriority w:val="99"/>
    <w:unhideWhenUsed/>
    <w:rsid w:val="00380575"/>
    <w:rPr>
      <w:vertAlign w:val="superscript"/>
    </w:rPr>
  </w:style>
  <w:style w:type="paragraph" w:styleId="Footer">
    <w:name w:val="footer"/>
    <w:basedOn w:val="Normal"/>
    <w:link w:val="FooterChar"/>
    <w:uiPriority w:val="99"/>
    <w:unhideWhenUsed/>
    <w:rsid w:val="001614E7"/>
    <w:pPr>
      <w:tabs>
        <w:tab w:val="center" w:pos="4320"/>
        <w:tab w:val="right" w:pos="8640"/>
      </w:tabs>
    </w:pPr>
  </w:style>
  <w:style w:type="character" w:customStyle="1" w:styleId="FooterChar">
    <w:name w:val="Footer Char"/>
    <w:basedOn w:val="DefaultParagraphFont"/>
    <w:link w:val="Footer"/>
    <w:uiPriority w:val="99"/>
    <w:rsid w:val="001614E7"/>
  </w:style>
  <w:style w:type="character" w:styleId="PageNumber">
    <w:name w:val="page number"/>
    <w:basedOn w:val="DefaultParagraphFont"/>
    <w:uiPriority w:val="99"/>
    <w:semiHidden/>
    <w:unhideWhenUsed/>
    <w:rsid w:val="001614E7"/>
  </w:style>
  <w:style w:type="paragraph" w:styleId="Header">
    <w:name w:val="header"/>
    <w:basedOn w:val="Normal"/>
    <w:link w:val="HeaderChar"/>
    <w:uiPriority w:val="99"/>
    <w:unhideWhenUsed/>
    <w:rsid w:val="008C694C"/>
    <w:pPr>
      <w:tabs>
        <w:tab w:val="center" w:pos="4320"/>
        <w:tab w:val="right" w:pos="8640"/>
      </w:tabs>
    </w:pPr>
  </w:style>
  <w:style w:type="character" w:customStyle="1" w:styleId="HeaderChar">
    <w:name w:val="Header Char"/>
    <w:basedOn w:val="DefaultParagraphFont"/>
    <w:link w:val="Header"/>
    <w:uiPriority w:val="99"/>
    <w:rsid w:val="008C69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093252">
      <w:bodyDiv w:val="1"/>
      <w:marLeft w:val="0"/>
      <w:marRight w:val="0"/>
      <w:marTop w:val="0"/>
      <w:marBottom w:val="0"/>
      <w:divBdr>
        <w:top w:val="none" w:sz="0" w:space="0" w:color="auto"/>
        <w:left w:val="none" w:sz="0" w:space="0" w:color="auto"/>
        <w:bottom w:val="none" w:sz="0" w:space="0" w:color="auto"/>
        <w:right w:val="none" w:sz="0" w:space="0" w:color="auto"/>
      </w:divBdr>
      <w:divsChild>
        <w:div w:id="1985235095">
          <w:marLeft w:val="0"/>
          <w:marRight w:val="0"/>
          <w:marTop w:val="0"/>
          <w:marBottom w:val="0"/>
          <w:divBdr>
            <w:top w:val="none" w:sz="0" w:space="0" w:color="auto"/>
            <w:left w:val="none" w:sz="0" w:space="0" w:color="auto"/>
            <w:bottom w:val="none" w:sz="0" w:space="0" w:color="auto"/>
            <w:right w:val="none" w:sz="0" w:space="0" w:color="auto"/>
          </w:divBdr>
          <w:divsChild>
            <w:div w:id="997152106">
              <w:marLeft w:val="0"/>
              <w:marRight w:val="0"/>
              <w:marTop w:val="0"/>
              <w:marBottom w:val="0"/>
              <w:divBdr>
                <w:top w:val="none" w:sz="0" w:space="0" w:color="auto"/>
                <w:left w:val="none" w:sz="0" w:space="0" w:color="auto"/>
                <w:bottom w:val="none" w:sz="0" w:space="0" w:color="auto"/>
                <w:right w:val="none" w:sz="0" w:space="0" w:color="auto"/>
              </w:divBdr>
              <w:divsChild>
                <w:div w:id="1557469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896704">
      <w:bodyDiv w:val="1"/>
      <w:marLeft w:val="0"/>
      <w:marRight w:val="0"/>
      <w:marTop w:val="0"/>
      <w:marBottom w:val="0"/>
      <w:divBdr>
        <w:top w:val="none" w:sz="0" w:space="0" w:color="auto"/>
        <w:left w:val="none" w:sz="0" w:space="0" w:color="auto"/>
        <w:bottom w:val="none" w:sz="0" w:space="0" w:color="auto"/>
        <w:right w:val="none" w:sz="0" w:space="0" w:color="auto"/>
      </w:divBdr>
      <w:divsChild>
        <w:div w:id="877351838">
          <w:marLeft w:val="0"/>
          <w:marRight w:val="0"/>
          <w:marTop w:val="0"/>
          <w:marBottom w:val="0"/>
          <w:divBdr>
            <w:top w:val="none" w:sz="0" w:space="0" w:color="auto"/>
            <w:left w:val="none" w:sz="0" w:space="0" w:color="auto"/>
            <w:bottom w:val="none" w:sz="0" w:space="0" w:color="auto"/>
            <w:right w:val="none" w:sz="0" w:space="0" w:color="auto"/>
          </w:divBdr>
          <w:divsChild>
            <w:div w:id="600798694">
              <w:marLeft w:val="0"/>
              <w:marRight w:val="0"/>
              <w:marTop w:val="0"/>
              <w:marBottom w:val="0"/>
              <w:divBdr>
                <w:top w:val="none" w:sz="0" w:space="0" w:color="auto"/>
                <w:left w:val="none" w:sz="0" w:space="0" w:color="auto"/>
                <w:bottom w:val="none" w:sz="0" w:space="0" w:color="auto"/>
                <w:right w:val="none" w:sz="0" w:space="0" w:color="auto"/>
              </w:divBdr>
              <w:divsChild>
                <w:div w:id="102578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2847</Words>
  <Characters>16234</Characters>
  <Application>Microsoft Macintosh Word</Application>
  <DocSecurity>0</DocSecurity>
  <Lines>135</Lines>
  <Paragraphs>38</Paragraphs>
  <ScaleCrop>false</ScaleCrop>
  <Company/>
  <LinksUpToDate>false</LinksUpToDate>
  <CharactersWithSpaces>19043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Crowe</dc:creator>
  <cp:keywords/>
  <dc:description/>
  <cp:lastModifiedBy>Shea Rhodes</cp:lastModifiedBy>
  <cp:revision>2</cp:revision>
  <cp:lastPrinted>2016-01-18T20:18:00Z</cp:lastPrinted>
  <dcterms:created xsi:type="dcterms:W3CDTF">2016-01-19T19:12:00Z</dcterms:created>
  <dcterms:modified xsi:type="dcterms:W3CDTF">2016-01-19T19:12:00Z</dcterms:modified>
</cp:coreProperties>
</file>